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C87865" w:rsidRPr="007831B6">
        <w:rPr>
          <w:b/>
          <w:sz w:val="28"/>
          <w:szCs w:val="28"/>
        </w:rPr>
        <w:t>18</w:t>
      </w:r>
      <w:r w:rsidR="004F2D39">
        <w:rPr>
          <w:b/>
          <w:sz w:val="28"/>
          <w:szCs w:val="28"/>
        </w:rPr>
        <w:t>9</w:t>
      </w:r>
      <w:r w:rsidR="00C87865" w:rsidRPr="007831B6">
        <w:rPr>
          <w:b/>
          <w:sz w:val="28"/>
          <w:szCs w:val="28"/>
        </w:rPr>
        <w:t xml:space="preserve"> </w:t>
      </w:r>
      <w:r w:rsidR="002C6407">
        <w:rPr>
          <w:b/>
          <w:sz w:val="28"/>
          <w:szCs w:val="28"/>
        </w:rPr>
        <w:t>/</w:t>
      </w:r>
      <w:r w:rsidR="00C87865" w:rsidRPr="007831B6">
        <w:rPr>
          <w:b/>
          <w:sz w:val="28"/>
          <w:szCs w:val="28"/>
        </w:rPr>
        <w:t xml:space="preserve"> 6</w:t>
      </w:r>
      <w:r w:rsidR="004F2D39">
        <w:rPr>
          <w:b/>
          <w:sz w:val="28"/>
          <w:szCs w:val="28"/>
        </w:rPr>
        <w:t>3</w:t>
      </w:r>
      <w:r w:rsidR="00413044">
        <w:rPr>
          <w:b/>
          <w:sz w:val="28"/>
          <w:szCs w:val="28"/>
        </w:rPr>
        <w:t xml:space="preserve"> 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4F2D39">
        <w:rPr>
          <w:b/>
          <w:sz w:val="28"/>
          <w:szCs w:val="28"/>
        </w:rPr>
        <w:t>11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4F2D39">
        <w:rPr>
          <w:b/>
          <w:sz w:val="28"/>
          <w:szCs w:val="28"/>
        </w:rPr>
        <w:t>марта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Pr="004F2D39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О  </w:t>
      </w:r>
      <w:r w:rsidR="0026786C" w:rsidRPr="004F2D39">
        <w:rPr>
          <w:b w:val="0"/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Pr="004F2D39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>«О бюджете Новогригорьевского сельского поселения на 2019 год</w:t>
      </w:r>
      <w:r>
        <w:rPr>
          <w:spacing w:val="0"/>
          <w:sz w:val="28"/>
          <w:szCs w:val="28"/>
        </w:rPr>
        <w:t xml:space="preserve"> </w:t>
      </w:r>
    </w:p>
    <w:p w:rsidR="004F2D39" w:rsidRPr="00C56D5A" w:rsidRDefault="0026786C" w:rsidP="004F2D3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 и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  <w:r w:rsidR="004F2D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2D39" w:rsidRPr="00C56D5A">
        <w:rPr>
          <w:sz w:val="28"/>
          <w:szCs w:val="28"/>
        </w:rPr>
        <w:t>изм.</w:t>
      </w:r>
      <w:r w:rsidR="004F2D39">
        <w:rPr>
          <w:sz w:val="28"/>
          <w:szCs w:val="28"/>
        </w:rPr>
        <w:t xml:space="preserve"> </w:t>
      </w:r>
      <w:r w:rsidR="004F2D39" w:rsidRPr="00C56D5A">
        <w:rPr>
          <w:sz w:val="28"/>
          <w:szCs w:val="28"/>
        </w:rPr>
        <w:t xml:space="preserve">от </w:t>
      </w:r>
      <w:r w:rsidR="004F2D39">
        <w:rPr>
          <w:sz w:val="28"/>
          <w:szCs w:val="28"/>
        </w:rPr>
        <w:t>28</w:t>
      </w:r>
      <w:r w:rsidR="004F2D39" w:rsidRPr="00C56D5A">
        <w:rPr>
          <w:sz w:val="28"/>
          <w:szCs w:val="28"/>
        </w:rPr>
        <w:t>.0</w:t>
      </w:r>
      <w:r w:rsidR="00687721">
        <w:rPr>
          <w:sz w:val="28"/>
          <w:szCs w:val="28"/>
        </w:rPr>
        <w:t>1</w:t>
      </w:r>
      <w:r w:rsidR="004F2D39" w:rsidRPr="00C56D5A">
        <w:rPr>
          <w:sz w:val="28"/>
          <w:szCs w:val="28"/>
        </w:rPr>
        <w:t>.201</w:t>
      </w:r>
      <w:r w:rsidR="004F2D39">
        <w:rPr>
          <w:sz w:val="28"/>
          <w:szCs w:val="28"/>
        </w:rPr>
        <w:t>9</w:t>
      </w:r>
      <w:r w:rsidR="004F2D39" w:rsidRPr="00C56D5A">
        <w:rPr>
          <w:sz w:val="28"/>
          <w:szCs w:val="28"/>
        </w:rPr>
        <w:t>г.</w:t>
      </w:r>
      <w:r w:rsidR="004F2D39">
        <w:rPr>
          <w:sz w:val="28"/>
          <w:szCs w:val="28"/>
        </w:rPr>
        <w:t xml:space="preserve"> № 185 </w:t>
      </w:r>
      <w:r w:rsidR="004F2D39" w:rsidRPr="00C56D5A">
        <w:rPr>
          <w:sz w:val="28"/>
          <w:szCs w:val="28"/>
        </w:rPr>
        <w:t>/</w:t>
      </w:r>
      <w:r w:rsidR="004F2D39">
        <w:rPr>
          <w:sz w:val="28"/>
          <w:szCs w:val="28"/>
        </w:rPr>
        <w:t xml:space="preserve"> 62;</w:t>
      </w:r>
    </w:p>
    <w:p w:rsidR="003D4EEB" w:rsidRPr="007831B6" w:rsidRDefault="003D4EEB" w:rsidP="007831B6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A37371">
        <w:rPr>
          <w:sz w:val="28"/>
          <w:szCs w:val="28"/>
        </w:rPr>
        <w:t>4767</w:t>
      </w:r>
      <w:r w:rsidR="00C2326D">
        <w:rPr>
          <w:sz w:val="28"/>
          <w:szCs w:val="28"/>
        </w:rPr>
        <w:t>,492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C2326D">
        <w:rPr>
          <w:sz w:val="28"/>
          <w:szCs w:val="28"/>
        </w:rPr>
        <w:t>5</w:t>
      </w:r>
      <w:r w:rsidR="00A37371">
        <w:rPr>
          <w:sz w:val="28"/>
          <w:szCs w:val="28"/>
        </w:rPr>
        <w:t>212</w:t>
      </w:r>
      <w:r w:rsidR="00C2326D">
        <w:rPr>
          <w:sz w:val="28"/>
          <w:szCs w:val="28"/>
        </w:rPr>
        <w:t>,492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A37371">
        <w:rPr>
          <w:sz w:val="28"/>
          <w:szCs w:val="28"/>
        </w:rPr>
        <w:t>445</w:t>
      </w:r>
      <w:r>
        <w:rPr>
          <w:sz w:val="28"/>
          <w:szCs w:val="28"/>
        </w:rPr>
        <w:t xml:space="preserve">,0 тыс.рублей, или </w:t>
      </w:r>
      <w:r w:rsidR="00A37371">
        <w:rPr>
          <w:sz w:val="28"/>
          <w:szCs w:val="28"/>
        </w:rPr>
        <w:t>24</w:t>
      </w:r>
      <w:r w:rsidR="007831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lastRenderedPageBreak/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22190">
        <w:rPr>
          <w:color w:val="000000"/>
          <w:sz w:val="28"/>
        </w:rPr>
        <w:t>6,</w:t>
      </w:r>
      <w:r w:rsidR="00F20082">
        <w:rPr>
          <w:color w:val="000000"/>
          <w:sz w:val="28"/>
        </w:rPr>
        <w:t>661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336652">
        <w:rPr>
          <w:rFonts w:ascii="Times New Roman" w:hAnsi="Times New Roman" w:cs="Times New Roman"/>
          <w:sz w:val="28"/>
        </w:rPr>
        <w:t>445,9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336652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Pr="00395A7B" w:rsidRDefault="00A27F8A" w:rsidP="00395A7B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(обнар</w:t>
      </w:r>
      <w:r w:rsidR="002E4C08">
        <w:rPr>
          <w:color w:val="000000"/>
          <w:sz w:val="28"/>
        </w:rPr>
        <w:t>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4D723A" w:rsidRPr="00907673">
        <w:rPr>
          <w:color w:val="000000"/>
        </w:rPr>
        <w:t xml:space="preserve">             </w:t>
      </w:r>
      <w:r w:rsidR="003D26A4" w:rsidRPr="00907673">
        <w:rPr>
          <w:color w:val="000000"/>
        </w:rPr>
        <w:t xml:space="preserve">  В.</w:t>
      </w:r>
      <w:r w:rsidR="004D723A" w:rsidRPr="00907673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D04F57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395A7B" w:rsidRDefault="00395A7B" w:rsidP="008D7499">
      <w:pPr>
        <w:pStyle w:val="20"/>
        <w:rPr>
          <w:sz w:val="20"/>
          <w:szCs w:val="20"/>
        </w:rPr>
      </w:pPr>
    </w:p>
    <w:p w:rsidR="00395A7B" w:rsidRPr="00B94C6E" w:rsidRDefault="00395A7B" w:rsidP="008D7499">
      <w:pPr>
        <w:pStyle w:val="20"/>
        <w:rPr>
          <w:sz w:val="20"/>
          <w:szCs w:val="2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395A7B">
        <w:rPr>
          <w:sz w:val="16"/>
          <w:szCs w:val="16"/>
        </w:rPr>
        <w:t>11</w:t>
      </w:r>
      <w:r w:rsidR="00CB3893">
        <w:rPr>
          <w:sz w:val="16"/>
          <w:szCs w:val="16"/>
        </w:rPr>
        <w:t>.</w:t>
      </w:r>
      <w:r w:rsidR="00AB3923">
        <w:rPr>
          <w:sz w:val="16"/>
          <w:szCs w:val="16"/>
        </w:rPr>
        <w:t>0</w:t>
      </w:r>
      <w:r w:rsidR="00395A7B">
        <w:rPr>
          <w:sz w:val="16"/>
          <w:szCs w:val="16"/>
        </w:rPr>
        <w:t>3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AB3923">
        <w:rPr>
          <w:sz w:val="16"/>
          <w:szCs w:val="16"/>
        </w:rPr>
        <w:t>9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AB3923">
        <w:rPr>
          <w:sz w:val="16"/>
          <w:szCs w:val="16"/>
        </w:rPr>
        <w:t>18</w:t>
      </w:r>
      <w:r w:rsidR="00395A7B">
        <w:rPr>
          <w:sz w:val="16"/>
          <w:szCs w:val="16"/>
        </w:rPr>
        <w:t>9</w:t>
      </w:r>
      <w:r w:rsidR="00F40E1D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>/</w:t>
      </w:r>
      <w:r w:rsidR="00AB3923">
        <w:rPr>
          <w:sz w:val="16"/>
          <w:szCs w:val="16"/>
        </w:rPr>
        <w:t>6</w:t>
      </w:r>
      <w:r w:rsidR="00395A7B">
        <w:rPr>
          <w:sz w:val="16"/>
          <w:szCs w:val="16"/>
        </w:rPr>
        <w:t>3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>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t xml:space="preserve">ние части полномочий по решению вопросов местного значения в </w:t>
            </w:r>
            <w:r w:rsidRPr="00BD6FCF">
              <w:lastRenderedPageBreak/>
              <w:t>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395A7B" w:rsidRPr="003740C4" w:rsidRDefault="00AB3923" w:rsidP="00395A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5A7B">
        <w:rPr>
          <w:sz w:val="16"/>
          <w:szCs w:val="16"/>
        </w:rPr>
        <w:t xml:space="preserve">   от  11.03.2019г.</w:t>
      </w:r>
      <w:r w:rsidR="00395A7B" w:rsidRPr="0081734A">
        <w:rPr>
          <w:sz w:val="16"/>
          <w:szCs w:val="16"/>
        </w:rPr>
        <w:t xml:space="preserve">  </w:t>
      </w:r>
      <w:r w:rsidR="00395A7B">
        <w:rPr>
          <w:sz w:val="16"/>
          <w:szCs w:val="16"/>
        </w:rPr>
        <w:t xml:space="preserve">№189 /63 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395A7B" w:rsidRPr="003740C4" w:rsidRDefault="00D837C5" w:rsidP="00395A7B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395A7B">
        <w:rPr>
          <w:sz w:val="16"/>
          <w:szCs w:val="16"/>
        </w:rPr>
        <w:t xml:space="preserve">   от  11.03.2019г.</w:t>
      </w:r>
      <w:r w:rsidR="00395A7B" w:rsidRPr="0081734A">
        <w:rPr>
          <w:sz w:val="16"/>
          <w:szCs w:val="16"/>
        </w:rPr>
        <w:t xml:space="preserve">  </w:t>
      </w:r>
      <w:r w:rsidR="00395A7B">
        <w:rPr>
          <w:sz w:val="16"/>
          <w:szCs w:val="16"/>
        </w:rPr>
        <w:t xml:space="preserve">№189 /63 </w:t>
      </w:r>
    </w:p>
    <w:p w:rsidR="00AF61E7" w:rsidRPr="00A05E76" w:rsidRDefault="00AF61E7" w:rsidP="00A05E76">
      <w:pPr>
        <w:jc w:val="right"/>
        <w:rPr>
          <w:sz w:val="16"/>
          <w:szCs w:val="16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1841,73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220,9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-14,9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985,0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04A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2925,762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1250,0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1250,0</w:t>
            </w:r>
          </w:p>
        </w:tc>
      </w:tr>
      <w:tr w:rsidR="00F079D1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бюджетам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2A4606" w:rsidRDefault="00F079D1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0217B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0B05F2" w:rsidP="00804C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3404A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30,0</w:t>
            </w:r>
          </w:p>
        </w:tc>
      </w:tr>
      <w:tr w:rsidR="009D3FF7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0217B" w:rsidP="003404A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</w:t>
            </w:r>
            <w:r w:rsidR="003404A6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7,492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395A7B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</w:t>
      </w:r>
      <w:r w:rsidR="00AB3923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AB3923">
        <w:rPr>
          <w:sz w:val="16"/>
          <w:szCs w:val="16"/>
        </w:rPr>
        <w:t>.2019г.</w:t>
      </w:r>
      <w:r w:rsidR="00AB3923" w:rsidRPr="0081734A">
        <w:rPr>
          <w:sz w:val="16"/>
          <w:szCs w:val="16"/>
        </w:rPr>
        <w:t xml:space="preserve">  </w:t>
      </w:r>
      <w:r w:rsidR="00AB3923">
        <w:rPr>
          <w:sz w:val="16"/>
          <w:szCs w:val="16"/>
        </w:rPr>
        <w:t>№18</w:t>
      </w:r>
      <w:r>
        <w:rPr>
          <w:sz w:val="16"/>
          <w:szCs w:val="16"/>
        </w:rPr>
        <w:t>9</w:t>
      </w:r>
      <w:r w:rsidR="00AB3923">
        <w:rPr>
          <w:sz w:val="16"/>
          <w:szCs w:val="16"/>
        </w:rPr>
        <w:t xml:space="preserve"> /6</w:t>
      </w:r>
      <w:r>
        <w:rPr>
          <w:sz w:val="16"/>
          <w:szCs w:val="16"/>
        </w:rPr>
        <w:t>3</w:t>
      </w:r>
      <w:r w:rsidR="00AB3923">
        <w:rPr>
          <w:sz w:val="16"/>
          <w:szCs w:val="16"/>
        </w:rPr>
        <w:t xml:space="preserve"> </w:t>
      </w:r>
      <w:r w:rsidR="00854C84">
        <w:rPr>
          <w:sz w:val="16"/>
          <w:szCs w:val="16"/>
        </w:rPr>
        <w:t xml:space="preserve"> 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360"/>
        <w:gridCol w:w="900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02F7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ED02F7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2131,8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307,3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-28,7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1075,7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2868,8</w:t>
            </w:r>
          </w:p>
        </w:tc>
      </w:tr>
      <w:tr w:rsidR="00247122" w:rsidRPr="00131D6B" w:rsidTr="00ED02F7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</w:tr>
      <w:tr w:rsidR="00F079D1" w:rsidRPr="00131D6B" w:rsidTr="000B4DDC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</w:t>
            </w:r>
            <w:r w:rsidRPr="0014035F">
              <w:rPr>
                <w:b/>
                <w:i/>
                <w:sz w:val="20"/>
                <w:szCs w:val="20"/>
              </w:rPr>
              <w:t>е</w:t>
            </w:r>
            <w:r w:rsidRPr="0014035F">
              <w:rPr>
                <w:b/>
                <w:i/>
                <w:sz w:val="20"/>
                <w:szCs w:val="20"/>
              </w:rPr>
              <w:t>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2A4606" w:rsidRDefault="00F079D1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162EBA" w:rsidRDefault="00F079D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1432,4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</w:p>
        </w:tc>
      </w:tr>
      <w:tr w:rsidR="00247122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C76E47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110,0</w:t>
            </w:r>
          </w:p>
        </w:tc>
      </w:tr>
      <w:tr w:rsidR="00C76E47" w:rsidRPr="00131D6B" w:rsidTr="00ED02F7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A0017F" w:rsidP="00100785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100785">
        <w:rPr>
          <w:sz w:val="16"/>
          <w:szCs w:val="16"/>
        </w:rPr>
        <w:t>от  11.03.2019г.</w:t>
      </w:r>
      <w:r w:rsidR="00100785" w:rsidRPr="0081734A">
        <w:rPr>
          <w:sz w:val="16"/>
          <w:szCs w:val="16"/>
        </w:rPr>
        <w:t xml:space="preserve">  </w:t>
      </w:r>
      <w:r w:rsidR="00100785">
        <w:rPr>
          <w:sz w:val="16"/>
          <w:szCs w:val="16"/>
        </w:rPr>
        <w:t xml:space="preserve">№189 /63    </w:t>
      </w:r>
      <w:r w:rsidR="00100785" w:rsidRPr="0081734A">
        <w:rPr>
          <w:sz w:val="16"/>
          <w:szCs w:val="16"/>
        </w:rPr>
        <w:t xml:space="preserve"> </w:t>
      </w:r>
      <w:r w:rsidR="00100785">
        <w:t xml:space="preserve"> </w:t>
      </w:r>
    </w:p>
    <w:p w:rsidR="00AB3923" w:rsidRDefault="00AB3923" w:rsidP="00AB3923">
      <w:pPr>
        <w:jc w:val="right"/>
        <w:rPr>
          <w:sz w:val="16"/>
          <w:szCs w:val="16"/>
        </w:rPr>
      </w:pP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2A0933" w:rsidP="00E5214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2588,661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0118C7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 w:rsidRPr="00751C8A">
              <w:rPr>
                <w:snapToGrid w:val="0"/>
                <w:color w:val="000000"/>
                <w:sz w:val="28"/>
              </w:rPr>
              <w:t>695,0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0933" w:rsidP="00161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1819,8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43,661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61EA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</w:pPr>
            <w:r>
              <w:t>10,0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093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481,9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C27F9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445,9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A09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  <w:r w:rsidR="002A0933">
              <w:rPr>
                <w:snapToGrid w:val="0"/>
                <w:color w:val="000000"/>
                <w:sz w:val="28"/>
              </w:rPr>
              <w:t>6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2A093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404,962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5C27F9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093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093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1642,769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093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1642,769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2A093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5212,492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100785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11.03.2019г.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№189 /63 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436AFC" w:rsidRDefault="0078793B" w:rsidP="00436AFC">
      <w:r>
        <w:t xml:space="preserve">       </w:t>
      </w:r>
    </w:p>
    <w:p w:rsidR="001D7B3E" w:rsidRDefault="001D7B3E" w:rsidP="00436AFC"/>
    <w:p w:rsidR="00656EF9" w:rsidRDefault="00656EF9" w:rsidP="00436AFC"/>
    <w:p w:rsidR="00656EF9" w:rsidRDefault="00656EF9" w:rsidP="00436AFC"/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100785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11.03.2019г.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№189 /63 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36AFC" w:rsidRDefault="00073A9D" w:rsidP="00E5214A">
            <w:pPr>
              <w:rPr>
                <w:b/>
                <w:i/>
              </w:rPr>
            </w:pPr>
            <w:r w:rsidRPr="00436AFC">
              <w:rPr>
                <w:b/>
                <w:i/>
              </w:rPr>
              <w:t>Общегосударственные вопр</w:t>
            </w:r>
            <w:r w:rsidRPr="00436AFC">
              <w:rPr>
                <w:b/>
                <w:i/>
              </w:rPr>
              <w:t>о</w:t>
            </w:r>
            <w:r w:rsidRPr="00436AFC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216926" w:rsidP="00E5214A">
            <w:pPr>
              <w:jc w:val="center"/>
              <w:rPr>
                <w:b/>
              </w:rPr>
            </w:pPr>
            <w:r>
              <w:rPr>
                <w:b/>
              </w:rPr>
              <w:t>2588,661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216926" w:rsidP="00E5214A">
            <w:pPr>
              <w:jc w:val="center"/>
              <w:rPr>
                <w:b/>
              </w:rPr>
            </w:pPr>
            <w:r>
              <w:rPr>
                <w:b/>
              </w:rPr>
              <w:t>2565,461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216926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1819,8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216926" w:rsidP="00E5214A">
            <w:pPr>
              <w:jc w:val="center"/>
            </w:pPr>
            <w:r>
              <w:t>87,0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216926" w:rsidP="00E5214A">
            <w:pPr>
              <w:jc w:val="center"/>
            </w:pPr>
            <w:r>
              <w:t>292,0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</w:t>
            </w:r>
            <w:r>
              <w:rPr>
                <w:i/>
              </w:rPr>
              <w:t>ж</w:t>
            </w:r>
            <w:r>
              <w:rPr>
                <w:i/>
              </w:rPr>
              <w:t>ностного лица муниципального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D3753" w:rsidRDefault="00134C10" w:rsidP="00226698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 w:rsidR="007D3753"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7D3753" w:rsidRDefault="007D3753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134C10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7D3753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 w:rsidR="007D3753"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C76AD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785E15" w:rsidP="00785E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121</w:t>
            </w:r>
          </w:p>
          <w:p w:rsidR="00134C10" w:rsidRPr="00305C14" w:rsidRDefault="00134C10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365</w:t>
            </w:r>
          </w:p>
          <w:p w:rsidR="00134C10" w:rsidRPr="00305C14" w:rsidRDefault="00134C10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49,0</w:t>
            </w:r>
          </w:p>
          <w:p w:rsidR="00134C10" w:rsidRDefault="00134C10" w:rsidP="00E5214A">
            <w:pPr>
              <w:jc w:val="center"/>
            </w:pPr>
            <w:r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9,4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природного и техногенного х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54F80" w:rsidRDefault="00134C10" w:rsidP="00E5214A">
            <w:pPr>
              <w:jc w:val="center"/>
            </w:pPr>
            <w:r>
              <w:t>10,0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216926" w:rsidP="00E5214A">
            <w:pPr>
              <w:jc w:val="center"/>
              <w:rPr>
                <w:b/>
              </w:rPr>
            </w:pPr>
            <w:r>
              <w:rPr>
                <w:b/>
              </w:rPr>
              <w:t>481,9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445,9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6485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2F7E5F" w:rsidP="00E5214A">
            <w:pPr>
              <w:jc w:val="center"/>
            </w:pPr>
            <w:r>
              <w:t>445,9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2F7E5F" w:rsidP="00E5214A">
            <w:pPr>
              <w:jc w:val="center"/>
            </w:pPr>
            <w:r>
              <w:t>445,9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A30FA5" w:rsidRDefault="00134C10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2169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6926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A1561" w:rsidRDefault="00134C10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216926" w:rsidP="00E5214A">
            <w:pPr>
              <w:jc w:val="center"/>
            </w:pPr>
            <w:r>
              <w:t>36</w:t>
            </w:r>
            <w:r w:rsidR="00134C10">
              <w:t>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216926" w:rsidP="00E5214A">
            <w:pPr>
              <w:jc w:val="center"/>
            </w:pPr>
            <w:r>
              <w:t>36</w:t>
            </w:r>
            <w:r w:rsidR="00134C10">
              <w:t>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404,962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134C10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134C10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2F7E5F" w:rsidP="00E5214A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134C10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2F7E5F">
            <w:pPr>
              <w:jc w:val="center"/>
            </w:pPr>
            <w:r w:rsidRPr="00533E99">
              <w:t>81</w:t>
            </w:r>
            <w:r w:rsidR="002F7E5F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2F7E5F" w:rsidP="00E5214A">
            <w:pPr>
              <w:jc w:val="center"/>
            </w:pPr>
            <w:r>
              <w:t>136,962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E5214A">
            <w:pPr>
              <w:jc w:val="center"/>
              <w:rPr>
                <w:i/>
              </w:rPr>
            </w:pPr>
            <w:r>
              <w:rPr>
                <w:i/>
              </w:rPr>
              <w:t>268,0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907A46">
            <w:pPr>
              <w:jc w:val="center"/>
            </w:pPr>
            <w:r>
              <w:t>155,0</w:t>
            </w:r>
          </w:p>
        </w:tc>
      </w:tr>
      <w:tr w:rsidR="00134C10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216926" w:rsidP="00E5214A">
            <w:pPr>
              <w:jc w:val="center"/>
              <w:rPr>
                <w:b/>
              </w:rPr>
            </w:pPr>
            <w:r>
              <w:rPr>
                <w:b/>
              </w:rPr>
              <w:t>1642,769</w:t>
            </w:r>
          </w:p>
        </w:tc>
      </w:tr>
      <w:tr w:rsidR="00134C10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216926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1642,769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216926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1382,769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753,0</w:t>
            </w:r>
          </w:p>
          <w:p w:rsidR="00134C10" w:rsidRDefault="00134C10" w:rsidP="00E5214A">
            <w:pPr>
              <w:jc w:val="center"/>
            </w:pPr>
            <w:r>
              <w:t>227,4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E5214A">
            <w:pPr>
              <w:jc w:val="center"/>
            </w:pPr>
            <w:r>
              <w:t>402,369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216926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255,0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123,6</w:t>
            </w:r>
          </w:p>
          <w:p w:rsidR="00134C10" w:rsidRDefault="00134C10" w:rsidP="00E5214A">
            <w:pPr>
              <w:jc w:val="center"/>
            </w:pPr>
            <w:r>
              <w:t>37,4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16926" w:rsidP="00E5214A">
            <w:pPr>
              <w:jc w:val="center"/>
            </w:pPr>
            <w:r>
              <w:t>94,0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23FAC" w:rsidRDefault="00134C10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lastRenderedPageBreak/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F105A5" w:rsidRDefault="00134C10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6,0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509E9" w:rsidRDefault="00134C10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26CA" w:rsidRDefault="00216926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5212,492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7427AF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0017F" w:rsidRPr="00DF17C3">
        <w:rPr>
          <w:sz w:val="18"/>
          <w:szCs w:val="18"/>
        </w:rPr>
        <w:t xml:space="preserve">         </w:t>
      </w:r>
      <w:r w:rsidR="00A0017F">
        <w:rPr>
          <w:sz w:val="16"/>
          <w:szCs w:val="16"/>
        </w:rPr>
        <w:t xml:space="preserve">   </w:t>
      </w:r>
      <w:r w:rsidR="00100785">
        <w:rPr>
          <w:sz w:val="16"/>
          <w:szCs w:val="16"/>
        </w:rPr>
        <w:t>от  11.03.2019г.</w:t>
      </w:r>
      <w:r w:rsidR="00100785" w:rsidRPr="0081734A">
        <w:rPr>
          <w:sz w:val="16"/>
          <w:szCs w:val="16"/>
        </w:rPr>
        <w:t xml:space="preserve">  </w:t>
      </w:r>
      <w:r w:rsidR="00100785">
        <w:rPr>
          <w:sz w:val="16"/>
          <w:szCs w:val="16"/>
        </w:rPr>
        <w:t xml:space="preserve">№189 /63    </w:t>
      </w:r>
      <w:r w:rsidR="00100785" w:rsidRPr="0081734A">
        <w:rPr>
          <w:sz w:val="16"/>
          <w:szCs w:val="16"/>
        </w:rPr>
        <w:t xml:space="preserve"> </w:t>
      </w:r>
      <w:r w:rsidR="00100785">
        <w:t xml:space="preserve"> </w:t>
      </w:r>
    </w:p>
    <w:p w:rsidR="00854C84" w:rsidRDefault="00854C84" w:rsidP="00A0017F">
      <w:pPr>
        <w:jc w:val="right"/>
        <w:rPr>
          <w:sz w:val="16"/>
          <w:szCs w:val="16"/>
        </w:rPr>
      </w:pP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14BDF" w:rsidRDefault="00073A9D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B4621B" w:rsidP="00E5214A">
            <w:pPr>
              <w:jc w:val="center"/>
              <w:rPr>
                <w:b/>
              </w:rPr>
            </w:pPr>
            <w:r>
              <w:rPr>
                <w:b/>
              </w:rPr>
              <w:t>2588,661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B4621B" w:rsidP="00E5214A">
            <w:pPr>
              <w:jc w:val="center"/>
              <w:rPr>
                <w:b/>
              </w:rPr>
            </w:pPr>
            <w:r>
              <w:rPr>
                <w:b/>
              </w:rPr>
              <w:t>2565,461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B4621B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1819,8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B4621B" w:rsidP="00E5214A">
            <w:pPr>
              <w:jc w:val="center"/>
            </w:pPr>
            <w:r>
              <w:t>87,0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B4621B" w:rsidP="00E5214A">
            <w:pPr>
              <w:jc w:val="center"/>
            </w:pPr>
            <w:r>
              <w:t>292,0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lastRenderedPageBreak/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</w:t>
            </w:r>
            <w:r w:rsidRPr="004746EE">
              <w:rPr>
                <w:i/>
              </w:rPr>
              <w:t>и</w:t>
            </w:r>
            <w:r w:rsidRPr="004746EE">
              <w:rPr>
                <w:i/>
              </w:rPr>
              <w:t>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должн</w:t>
            </w:r>
            <w:r>
              <w:rPr>
                <w:i/>
              </w:rPr>
              <w:t>о</w:t>
            </w:r>
            <w:r>
              <w:rPr>
                <w:i/>
              </w:rPr>
              <w:t>стного лица муниципального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подгото</w:t>
            </w:r>
            <w:r w:rsidRPr="00414BDF">
              <w:rPr>
                <w:b/>
                <w:i/>
              </w:rPr>
              <w:t>в</w:t>
            </w:r>
            <w:r w:rsidRPr="00414BDF">
              <w:rPr>
                <w:b/>
                <w:i/>
              </w:rPr>
              <w:t>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121</w:t>
            </w:r>
          </w:p>
          <w:p w:rsidR="00B46A41" w:rsidRPr="00305C14" w:rsidRDefault="00B46A41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365</w:t>
            </w:r>
          </w:p>
          <w:p w:rsidR="00B46A41" w:rsidRPr="00305C14" w:rsidRDefault="00B46A41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49,0</w:t>
            </w:r>
          </w:p>
          <w:p w:rsidR="00B46A41" w:rsidRDefault="00B46A41" w:rsidP="00E5214A">
            <w:pPr>
              <w:jc w:val="center"/>
            </w:pPr>
            <w:r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ного и техногенного характера, гражда</w:t>
            </w:r>
            <w:r w:rsidRPr="00414BDF">
              <w:rPr>
                <w:b/>
                <w:i/>
              </w:rPr>
              <w:t>н</w:t>
            </w:r>
            <w:r w:rsidRPr="00414BDF">
              <w:rPr>
                <w:b/>
                <w:i/>
              </w:rPr>
              <w:t>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МП «Пожарная безопасность и защита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Новогригорьевского сельского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754F80" w:rsidRDefault="00B46A41" w:rsidP="00E5214A">
            <w:pPr>
              <w:jc w:val="center"/>
            </w:pPr>
            <w:r>
              <w:t>10,0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21B" w:rsidP="00E5214A">
            <w:pPr>
              <w:jc w:val="center"/>
              <w:rPr>
                <w:b/>
              </w:rPr>
            </w:pPr>
            <w:r>
              <w:rPr>
                <w:b/>
              </w:rPr>
              <w:t>481,9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445,9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96485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</w:t>
            </w:r>
            <w:r>
              <w:rPr>
                <w:i/>
              </w:rPr>
              <w:t>в</w:t>
            </w:r>
            <w:r>
              <w:rPr>
                <w:i/>
              </w:rPr>
              <w:t>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F072DE" w:rsidP="00E5214A">
            <w:pPr>
              <w:jc w:val="center"/>
            </w:pPr>
            <w:r>
              <w:t>445,9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F072DE" w:rsidP="00E5214A">
            <w:pPr>
              <w:jc w:val="center"/>
            </w:pPr>
            <w:r>
              <w:t>445,9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A30FA5" w:rsidRDefault="00B46A41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B462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621B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A1561" w:rsidRDefault="00B46A41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21B" w:rsidP="00E5214A">
            <w:pPr>
              <w:jc w:val="center"/>
            </w:pPr>
            <w:r>
              <w:t>36</w:t>
            </w:r>
            <w:r w:rsidR="00B46A41">
              <w:t>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21B" w:rsidP="00E5214A">
            <w:pPr>
              <w:jc w:val="center"/>
            </w:pPr>
            <w:r>
              <w:t>36</w:t>
            </w:r>
            <w:r w:rsidR="00B46A41">
              <w:t>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21B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404,962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B46A41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B46A41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F072DE" w:rsidP="00E5214A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B46A41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81</w:t>
            </w:r>
            <w:r w:rsidR="00F072DE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F072DE" w:rsidP="00E5214A">
            <w:pPr>
              <w:jc w:val="center"/>
            </w:pPr>
            <w:r>
              <w:t>136,962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21B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Новогр</w:t>
            </w:r>
            <w:r>
              <w:rPr>
                <w:i/>
              </w:rPr>
              <w:t>и</w:t>
            </w:r>
            <w:r>
              <w:rPr>
                <w:i/>
              </w:rPr>
              <w:t>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21B" w:rsidP="00E5214A">
            <w:pPr>
              <w:jc w:val="center"/>
              <w:rPr>
                <w:i/>
              </w:rPr>
            </w:pPr>
            <w:r>
              <w:rPr>
                <w:i/>
              </w:rPr>
              <w:t>268,0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21B" w:rsidP="00E5214A">
            <w:pPr>
              <w:jc w:val="center"/>
            </w:pPr>
            <w:r>
              <w:t>155,0</w:t>
            </w:r>
          </w:p>
        </w:tc>
      </w:tr>
      <w:tr w:rsidR="00B46A41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3E79A3" w:rsidP="00E5214A">
            <w:pPr>
              <w:jc w:val="center"/>
              <w:rPr>
                <w:b/>
              </w:rPr>
            </w:pPr>
            <w:r>
              <w:rPr>
                <w:b/>
              </w:rPr>
              <w:t>1642,769</w:t>
            </w:r>
          </w:p>
        </w:tc>
      </w:tr>
      <w:tr w:rsidR="00B46A41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B46A41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3E79A3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1642,769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3E79A3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1382,769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753,0</w:t>
            </w:r>
          </w:p>
          <w:p w:rsidR="00B46A41" w:rsidRDefault="00B46A41" w:rsidP="00E5214A">
            <w:pPr>
              <w:jc w:val="center"/>
            </w:pPr>
            <w:r>
              <w:t>227,4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  <w:p w:rsidR="004D4D5E" w:rsidRDefault="004D4D5E" w:rsidP="00E5214A">
            <w:pPr>
              <w:jc w:val="both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3E79A3" w:rsidP="00E5214A">
            <w:pPr>
              <w:jc w:val="center"/>
            </w:pPr>
            <w:r>
              <w:t>402,369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3E79A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3E79A3">
              <w:rPr>
                <w:i/>
                <w:u w:val="single"/>
              </w:rPr>
              <w:t>5</w:t>
            </w:r>
            <w:r>
              <w:rPr>
                <w:i/>
                <w:u w:val="single"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lastRenderedPageBreak/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123,6</w:t>
            </w:r>
          </w:p>
          <w:p w:rsidR="00B46A41" w:rsidRDefault="00B46A41" w:rsidP="00E5214A">
            <w:pPr>
              <w:jc w:val="center"/>
            </w:pPr>
            <w:r>
              <w:t>37,4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3E79A3" w:rsidP="00E5214A">
            <w:pPr>
              <w:jc w:val="center"/>
            </w:pPr>
            <w:r>
              <w:t>9</w:t>
            </w:r>
            <w:r w:rsidR="00B46A41">
              <w:t>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23FAC" w:rsidRDefault="00B46A41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F105A5" w:rsidRDefault="00B46A41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6,0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509E9" w:rsidRDefault="00B46A41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 xml:space="preserve">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26CA" w:rsidRDefault="003E79A3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5212,492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100785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11.03.2019г.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№189 /63 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</w:t>
            </w:r>
            <w:r>
              <w:rPr>
                <w:i/>
              </w:rPr>
              <w:t>и</w:t>
            </w:r>
            <w:r>
              <w:rPr>
                <w:i/>
              </w:rPr>
              <w:t>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</w:t>
            </w:r>
            <w:r w:rsidRPr="00B30F1B">
              <w:rPr>
                <w:i/>
              </w:rPr>
              <w:t>и</w:t>
            </w:r>
            <w:r w:rsidRPr="00B30F1B">
              <w:rPr>
                <w:i/>
              </w:rPr>
              <w:t>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ях, где отсутствуют  военные к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ВЦПВО «Обеспечение эпизоотич</w:t>
            </w:r>
            <w:r w:rsidRPr="005878FB">
              <w:rPr>
                <w:i/>
              </w:rPr>
              <w:t>е</w:t>
            </w:r>
            <w:r w:rsidRPr="005878FB">
              <w:rPr>
                <w:i/>
              </w:rPr>
              <w:t>ского и ветеленарно-санитарного благополучия территорий Волг</w:t>
            </w:r>
            <w:r w:rsidRPr="005878FB">
              <w:rPr>
                <w:i/>
              </w:rPr>
              <w:t>о</w:t>
            </w:r>
            <w:r w:rsidRPr="005878FB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996676" w:rsidP="00E5214A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деятельности и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Новогригорьевском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lastRenderedPageBreak/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Новогригорьевского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A04CF6" w:rsidRPr="006C1EBD" w:rsidRDefault="00C349FF" w:rsidP="006C1EBD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783E" w:rsidRDefault="0068783E" w:rsidP="0078793B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100785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11.03.2019г.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№189 /63 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родного и техногенного характера, гр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ВЦПВО «Обеспечение эпизоотич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ского и ветеленарно-санитарного благополучия территорий Волг</w:t>
            </w:r>
            <w:r w:rsidRPr="00C91CDA">
              <w:rPr>
                <w:i/>
              </w:rPr>
              <w:t>о</w:t>
            </w:r>
            <w:r w:rsidRPr="00C91CDA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Выполнений функций органами м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00785" w:rsidRPr="003740C4" w:rsidRDefault="00100785" w:rsidP="0010078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11.03.2019г.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№189 /63  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6B4CE0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  <w:r w:rsidR="009545E6">
              <w:rPr>
                <w:sz w:val="28"/>
              </w:rPr>
              <w:t>,0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6B4CE0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  <w:r w:rsidR="009545E6">
              <w:rPr>
                <w:sz w:val="28"/>
              </w:rPr>
              <w:t>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88" w:rsidRDefault="00BD7688">
      <w:r>
        <w:separator/>
      </w:r>
    </w:p>
  </w:endnote>
  <w:endnote w:type="continuationSeparator" w:id="0">
    <w:p w:rsidR="00BD7688" w:rsidRDefault="00BD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AE1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88" w:rsidRDefault="00BD7688">
      <w:r>
        <w:separator/>
      </w:r>
    </w:p>
  </w:footnote>
  <w:footnote w:type="continuationSeparator" w:id="0">
    <w:p w:rsidR="00BD7688" w:rsidRDefault="00BD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25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8D2"/>
    <w:rsid w:val="00047DCC"/>
    <w:rsid w:val="00052CDA"/>
    <w:rsid w:val="00053FE9"/>
    <w:rsid w:val="00056F44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4DDC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0785"/>
    <w:rsid w:val="00102C53"/>
    <w:rsid w:val="00103DC7"/>
    <w:rsid w:val="0010402F"/>
    <w:rsid w:val="00104EA8"/>
    <w:rsid w:val="00105923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926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60"/>
    <w:rsid w:val="002746CB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933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5A23"/>
    <w:rsid w:val="002C6407"/>
    <w:rsid w:val="002C7E4F"/>
    <w:rsid w:val="002D0D6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2F7E5F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4A6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5A7B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9A3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D39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F9A"/>
    <w:rsid w:val="006107E7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A6"/>
    <w:rsid w:val="00640AD1"/>
    <w:rsid w:val="00644BFB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F68"/>
    <w:rsid w:val="006622E0"/>
    <w:rsid w:val="00662B81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721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568D"/>
    <w:rsid w:val="006A6C69"/>
    <w:rsid w:val="006A7162"/>
    <w:rsid w:val="006B00F3"/>
    <w:rsid w:val="006B0813"/>
    <w:rsid w:val="006B08CC"/>
    <w:rsid w:val="006B2A89"/>
    <w:rsid w:val="006B2AE1"/>
    <w:rsid w:val="006B488A"/>
    <w:rsid w:val="006B4CE0"/>
    <w:rsid w:val="006B617C"/>
    <w:rsid w:val="006B7B69"/>
    <w:rsid w:val="006B7C6F"/>
    <w:rsid w:val="006C046B"/>
    <w:rsid w:val="006C1EBD"/>
    <w:rsid w:val="006C4C13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5CB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1B6"/>
    <w:rsid w:val="0078328D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4C84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481A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6676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37371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25BD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4CFB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21B"/>
    <w:rsid w:val="00B46A41"/>
    <w:rsid w:val="00B50472"/>
    <w:rsid w:val="00B5061E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688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2823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326D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727F-88FD-43A9-9656-02D59A6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8179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2019-03-11T13:17:00Z</cp:lastPrinted>
  <dcterms:created xsi:type="dcterms:W3CDTF">2020-05-12T19:55:00Z</dcterms:created>
  <dcterms:modified xsi:type="dcterms:W3CDTF">2020-05-12T19:55:00Z</dcterms:modified>
</cp:coreProperties>
</file>