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37766" w:rsidRPr="0022190A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7766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НОВОГРИГОРЬЕВСКОГО 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</w:p>
          <w:p w:rsidR="00637766" w:rsidRPr="0022190A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ИЛОВЛИ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НСКОГО  МУНИЦИПАЛЬНОГО РАЙОНА</w:t>
            </w:r>
          </w:p>
          <w:p w:rsidR="00637766" w:rsidRPr="0022190A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22190A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90A" w:rsidRPr="0029499E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766" w:rsidRPr="0022190A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71270" w:rsidRPr="00410680" w:rsidRDefault="00806815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09» ноября 2023г.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22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89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proofErr w:type="spellStart"/>
            <w:r w:rsidR="0022190A">
              <w:rPr>
                <w:rFonts w:ascii="Times New Roman" w:hAnsi="Times New Roman" w:cs="Times New Roman"/>
                <w:sz w:val="28"/>
                <w:szCs w:val="28"/>
              </w:rPr>
              <w:t>Новогригорьевском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806815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2024</w:t>
            </w:r>
            <w:r w:rsidR="00C17302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40" w:rsidRDefault="00C1734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  <w:bookmarkStart w:id="2" w:name="_Hlk83286550"/>
    </w:p>
    <w:p w:rsidR="00C17340" w:rsidRDefault="00C1734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</w:p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40" w:rsidRDefault="00C17340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</w:rPr>
      </w:pPr>
      <w:bookmarkStart w:id="3" w:name="_Hlk83286246"/>
      <w:bookmarkEnd w:id="2"/>
    </w:p>
    <w:p w:rsidR="00C17340" w:rsidRDefault="00C17340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</w:rPr>
      </w:pPr>
    </w:p>
    <w:p w:rsidR="00C17340" w:rsidRDefault="00C17340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</w:rPr>
      </w:pP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991F48"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80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2024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="00991F48">
        <w:t>Иловли</w:t>
      </w:r>
      <w:r w:rsidRPr="00637766">
        <w:t>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22190A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lastRenderedPageBreak/>
        <w:t>опубликования.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И.Н.Раскопов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22190A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80681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 2023г.№ 89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C17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7340">
        <w:rPr>
          <w:rFonts w:ascii="Times New Roman" w:hAnsi="Times New Roman" w:cs="Times New Roman"/>
          <w:sz w:val="28"/>
          <w:szCs w:val="28"/>
        </w:rPr>
        <w:t xml:space="preserve"> 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91F48"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80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2024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221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2190A">
              <w:rPr>
                <w:rFonts w:ascii="Times New Roman" w:hAnsi="Times New Roman" w:cs="Times New Roman"/>
              </w:rPr>
              <w:t>Новогригорьевском</w:t>
            </w:r>
            <w:proofErr w:type="spellEnd"/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="00806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2024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proofErr w:type="spellStart"/>
            <w:r w:rsidR="0022190A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lastRenderedPageBreak/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3B639A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80681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период 2024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proofErr w:type="spellStart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8"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proofErr w:type="spellStart"/>
      <w:r w:rsidR="003B639A">
        <w:rPr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991F48" w:rsidRPr="00991F48">
        <w:rPr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proofErr w:type="spellStart"/>
      <w:r w:rsidR="003B639A">
        <w:rPr>
          <w:sz w:val="24"/>
          <w:szCs w:val="24"/>
        </w:rPr>
        <w:t>Новогригорьевского</w:t>
      </w:r>
      <w:proofErr w:type="spellEnd"/>
      <w:r w:rsidR="00991F48" w:rsidRPr="00991F48">
        <w:rPr>
          <w:sz w:val="24"/>
          <w:szCs w:val="24"/>
        </w:rPr>
        <w:t xml:space="preserve"> сельского поселения </w:t>
      </w:r>
      <w:proofErr w:type="spellStart"/>
      <w:r w:rsidR="00991F48" w:rsidRPr="00991F48">
        <w:rPr>
          <w:sz w:val="24"/>
          <w:szCs w:val="24"/>
        </w:rPr>
        <w:t>Иловлинского</w:t>
      </w:r>
      <w:proofErr w:type="spellEnd"/>
      <w:r w:rsidR="00991F48" w:rsidRPr="00991F48">
        <w:rPr>
          <w:sz w:val="24"/>
          <w:szCs w:val="24"/>
        </w:rPr>
        <w:t xml:space="preserve">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proofErr w:type="spellStart"/>
      <w:r w:rsidR="003B639A">
        <w:rPr>
          <w:sz w:val="24"/>
          <w:szCs w:val="24"/>
        </w:rPr>
        <w:t>Новогригорьевского</w:t>
      </w:r>
      <w:proofErr w:type="spellEnd"/>
      <w:r w:rsidR="00EF1153">
        <w:rPr>
          <w:sz w:val="24"/>
          <w:szCs w:val="24"/>
        </w:rPr>
        <w:t xml:space="preserve">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lastRenderedPageBreak/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r w:rsidR="00665D02" w:rsidRPr="008C4038">
        <w:rPr>
          <w:rFonts w:ascii="Times New Roman" w:hAnsi="Times New Roman" w:cs="Times New Roman"/>
          <w:sz w:val="24"/>
          <w:szCs w:val="24"/>
        </w:rPr>
        <w:t xml:space="preserve">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proofErr w:type="spellStart"/>
      <w:r w:rsidR="003B639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proofErr w:type="spellStart"/>
      <w:r w:rsidR="003B63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E335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EF1153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3E335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EF1153">
        <w:rPr>
          <w:rFonts w:ascii="Times New Roman" w:hAnsi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35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77" w:rsidRPr="0038637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7340" w:rsidRDefault="00C17340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</w:p>
    <w:p w:rsidR="00C17340" w:rsidRDefault="00C17340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17340" w:rsidRDefault="00C17340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17340" w:rsidRDefault="00C17340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C17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30" w:rsidRDefault="00162730" w:rsidP="00BD4CA7">
      <w:pPr>
        <w:spacing w:after="0" w:line="240" w:lineRule="auto"/>
      </w:pPr>
      <w:r>
        <w:separator/>
      </w:r>
    </w:p>
  </w:endnote>
  <w:endnote w:type="continuationSeparator" w:id="0">
    <w:p w:rsidR="00162730" w:rsidRDefault="00162730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30" w:rsidRDefault="00162730" w:rsidP="00BD4CA7">
      <w:pPr>
        <w:spacing w:after="0" w:line="240" w:lineRule="auto"/>
      </w:pPr>
      <w:r>
        <w:separator/>
      </w:r>
    </w:p>
  </w:footnote>
  <w:footnote w:type="continuationSeparator" w:id="0">
    <w:p w:rsidR="00162730" w:rsidRDefault="00162730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968E7"/>
    <w:rsid w:val="000A1F6D"/>
    <w:rsid w:val="000A7F9D"/>
    <w:rsid w:val="000D6C59"/>
    <w:rsid w:val="00104A60"/>
    <w:rsid w:val="001135DB"/>
    <w:rsid w:val="0011671E"/>
    <w:rsid w:val="00162730"/>
    <w:rsid w:val="00163CDE"/>
    <w:rsid w:val="00202DC1"/>
    <w:rsid w:val="0022190A"/>
    <w:rsid w:val="0023230B"/>
    <w:rsid w:val="00337F24"/>
    <w:rsid w:val="00354A42"/>
    <w:rsid w:val="00355170"/>
    <w:rsid w:val="00386377"/>
    <w:rsid w:val="00395707"/>
    <w:rsid w:val="003B35CE"/>
    <w:rsid w:val="003B639A"/>
    <w:rsid w:val="003E3354"/>
    <w:rsid w:val="003F176A"/>
    <w:rsid w:val="00410680"/>
    <w:rsid w:val="00463F96"/>
    <w:rsid w:val="004D23BD"/>
    <w:rsid w:val="00517B86"/>
    <w:rsid w:val="005466DF"/>
    <w:rsid w:val="00552C92"/>
    <w:rsid w:val="005D124B"/>
    <w:rsid w:val="005D19B6"/>
    <w:rsid w:val="00637766"/>
    <w:rsid w:val="0066375D"/>
    <w:rsid w:val="00665D02"/>
    <w:rsid w:val="00666AE0"/>
    <w:rsid w:val="006B7ED3"/>
    <w:rsid w:val="006C155E"/>
    <w:rsid w:val="00764D88"/>
    <w:rsid w:val="007F4B50"/>
    <w:rsid w:val="00806815"/>
    <w:rsid w:val="00881854"/>
    <w:rsid w:val="008C4038"/>
    <w:rsid w:val="008D6FA5"/>
    <w:rsid w:val="00924E26"/>
    <w:rsid w:val="00931587"/>
    <w:rsid w:val="00943CF0"/>
    <w:rsid w:val="00991F48"/>
    <w:rsid w:val="009C728E"/>
    <w:rsid w:val="00A25FB1"/>
    <w:rsid w:val="00B34D0F"/>
    <w:rsid w:val="00B81878"/>
    <w:rsid w:val="00B92CD0"/>
    <w:rsid w:val="00BD4CA7"/>
    <w:rsid w:val="00C15F8F"/>
    <w:rsid w:val="00C17302"/>
    <w:rsid w:val="00C17340"/>
    <w:rsid w:val="00C843A4"/>
    <w:rsid w:val="00C97C07"/>
    <w:rsid w:val="00CD7E34"/>
    <w:rsid w:val="00D354B2"/>
    <w:rsid w:val="00E119A1"/>
    <w:rsid w:val="00E128D4"/>
    <w:rsid w:val="00E168D0"/>
    <w:rsid w:val="00E206D3"/>
    <w:rsid w:val="00E326EB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4535-7A00-4752-AA29-FA6AD09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2023-11-10T05:26:00Z</cp:lastPrinted>
  <dcterms:created xsi:type="dcterms:W3CDTF">2023-11-11T04:48:00Z</dcterms:created>
  <dcterms:modified xsi:type="dcterms:W3CDTF">2023-11-11T04:48:00Z</dcterms:modified>
</cp:coreProperties>
</file>