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440897" w:rsidP="00440897">
      <w:pPr>
        <w:ind w:left="360"/>
        <w:jc w:val="center"/>
        <w:rPr>
          <w:rFonts w:ascii="Times New Roman" w:hAnsi="Times New Roman"/>
          <w:b/>
          <w:sz w:val="28"/>
        </w:rPr>
      </w:pPr>
      <w:r w:rsidRPr="00440897">
        <w:rPr>
          <w:rFonts w:ascii="Times New Roman" w:hAnsi="Times New Roman"/>
          <w:b/>
          <w:sz w:val="28"/>
        </w:rPr>
        <w:t xml:space="preserve">Пункты государственной гравиметрической сети на территории Волгоградской области </w:t>
      </w:r>
      <w:r w:rsidR="00DA238B">
        <w:rPr>
          <w:rFonts w:ascii="Times New Roman" w:hAnsi="Times New Roman"/>
          <w:b/>
          <w:sz w:val="28"/>
        </w:rPr>
        <w:t xml:space="preserve"> 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Государственная гравиметрическая сеть России является основой для выполнения гравиметрических исследований, имеющих целью изучение гравитационного поля и фигуры Земли и их изменений во времени, а также для решения других научных и народнохозяйственных задач, включая метрологическое обеспечение гравиметрических съемок. Она служит для распространения на территорию страны единой гравиметрической системы.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Построение сети основных пунктов осуществляют, исходя из следующего - основные гравиметриче</w:t>
      </w:r>
      <w:r>
        <w:rPr>
          <w:rFonts w:ascii="Times New Roman" w:hAnsi="Times New Roman" w:cs="Times New Roman"/>
          <w:sz w:val="28"/>
          <w:szCs w:val="28"/>
        </w:rPr>
        <w:t xml:space="preserve">ские пункты 1 класса размещают </w:t>
      </w:r>
      <w:r w:rsidRPr="00440897">
        <w:rPr>
          <w:rFonts w:ascii="Times New Roman" w:hAnsi="Times New Roman" w:cs="Times New Roman"/>
          <w:sz w:val="28"/>
          <w:szCs w:val="28"/>
        </w:rPr>
        <w:t>по возможности равномерно</w:t>
      </w:r>
      <w:r w:rsidR="006F1496">
        <w:rPr>
          <w:rFonts w:ascii="Times New Roman" w:hAnsi="Times New Roman" w:cs="Times New Roman"/>
          <w:sz w:val="28"/>
          <w:szCs w:val="28"/>
        </w:rPr>
        <w:t xml:space="preserve"> на расстоянии 250-400 км один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40897">
        <w:rPr>
          <w:rFonts w:ascii="Times New Roman" w:hAnsi="Times New Roman" w:cs="Times New Roman"/>
          <w:sz w:val="28"/>
          <w:szCs w:val="28"/>
        </w:rPr>
        <w:t>другого.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находятся 4 пункта государственной гравиметрической сети (пункт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Как правило, основные пункты 1 класса размещают в капитальных зданиях.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Например</w:t>
      </w:r>
      <w:r w:rsidR="006F1496">
        <w:rPr>
          <w:rFonts w:ascii="Times New Roman" w:hAnsi="Times New Roman" w:cs="Times New Roman"/>
          <w:sz w:val="28"/>
          <w:szCs w:val="28"/>
        </w:rPr>
        <w:t>,</w:t>
      </w:r>
      <w:r w:rsidRPr="00440897">
        <w:rPr>
          <w:rFonts w:ascii="Times New Roman" w:hAnsi="Times New Roman" w:cs="Times New Roman"/>
          <w:sz w:val="28"/>
          <w:szCs w:val="28"/>
        </w:rPr>
        <w:t xml:space="preserve"> основной 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размещен внутри здания, контрольный стенной репер № 4302 расположен на фасаде данного здания на территории принадлежащей ПАО «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Волгограднефтегеофизика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>».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Каждый основной пункт 1 класса сопровождается пунктом-спутником, размещенным на расстоянии, не превышающем 60 км, и контрольными реперами.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Пункты-спутники предназначаются для удобства связи пунктов 1 класса с пунктами 2 и 3 классов. Кроме того, пункт-спутник обеспечивает сохранение значения ускорения силы тяжести в случае утраты основного пункта 1 класса.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97">
        <w:rPr>
          <w:rFonts w:ascii="Times New Roman" w:hAnsi="Times New Roman" w:cs="Times New Roman"/>
          <w:sz w:val="28"/>
          <w:szCs w:val="28"/>
        </w:rPr>
        <w:t xml:space="preserve">Так пункт - спутник № 0380 и контрольный стенной репер № 2931 основного пункта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находятся на территории Международного аэропорта Волгоград в рабочем состоянии.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Управление обращает внимание на недопущение утраты геодезических пунктов и наложение административной ответственности за умышленное или по неосторожности их уничтожение, повреждение или снос.</w:t>
      </w: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ab/>
      </w: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4383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2024-04-18T08:10:00Z</dcterms:created>
  <dcterms:modified xsi:type="dcterms:W3CDTF">2024-04-18T08:10:00Z</dcterms:modified>
</cp:coreProperties>
</file>