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54" w:rsidRPr="00876813" w:rsidRDefault="00191254" w:rsidP="0019125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</w:p>
    <w:p w:rsidR="00191254" w:rsidRPr="00876813" w:rsidRDefault="00191254" w:rsidP="00191254">
      <w:pPr>
        <w:jc w:val="center"/>
        <w:rPr>
          <w:b/>
          <w:sz w:val="32"/>
          <w:szCs w:val="32"/>
        </w:rPr>
      </w:pPr>
      <w:r w:rsidRPr="00876813">
        <w:rPr>
          <w:b/>
          <w:sz w:val="32"/>
          <w:szCs w:val="32"/>
        </w:rPr>
        <w:t>НОВОГРИГОРЬЕВСКОГО СЕЛЬСКОГО ПОСЕЛЕНИЯ</w:t>
      </w:r>
    </w:p>
    <w:p w:rsidR="00191254" w:rsidRPr="00876813" w:rsidRDefault="00191254" w:rsidP="00191254">
      <w:pPr>
        <w:jc w:val="center"/>
        <w:rPr>
          <w:b/>
          <w:sz w:val="32"/>
          <w:szCs w:val="32"/>
        </w:rPr>
      </w:pPr>
      <w:proofErr w:type="gramStart"/>
      <w:r w:rsidRPr="00876813">
        <w:rPr>
          <w:b/>
          <w:sz w:val="32"/>
          <w:szCs w:val="32"/>
        </w:rPr>
        <w:t>ИЛОВЛИНСКОГО  МУНИЦИПАЛЬНОГО</w:t>
      </w:r>
      <w:proofErr w:type="gramEnd"/>
      <w:r w:rsidRPr="00876813">
        <w:rPr>
          <w:b/>
          <w:sz w:val="32"/>
          <w:szCs w:val="32"/>
        </w:rPr>
        <w:t xml:space="preserve">  РАЙОНА</w:t>
      </w:r>
    </w:p>
    <w:p w:rsidR="00191254" w:rsidRPr="00876813" w:rsidRDefault="00191254" w:rsidP="00191254">
      <w:pPr>
        <w:jc w:val="center"/>
        <w:rPr>
          <w:b/>
          <w:sz w:val="32"/>
          <w:szCs w:val="32"/>
        </w:rPr>
      </w:pPr>
      <w:r w:rsidRPr="00876813">
        <w:rPr>
          <w:b/>
          <w:sz w:val="32"/>
          <w:szCs w:val="32"/>
        </w:rPr>
        <w:t>ВОЛГОГРАДСКОЙ ОБЛАСТИ</w:t>
      </w:r>
    </w:p>
    <w:tbl>
      <w:tblPr>
        <w:tblW w:w="1026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91254" w:rsidRPr="00876813" w:rsidTr="007A7EE7">
        <w:trPr>
          <w:trHeight w:val="7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1254" w:rsidRPr="00EA015E" w:rsidRDefault="00191254" w:rsidP="007A7EE7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191254" w:rsidRDefault="00191254" w:rsidP="00D65082">
      <w:pPr>
        <w:ind w:right="18"/>
        <w:rPr>
          <w:b/>
          <w:sz w:val="32"/>
          <w:szCs w:val="32"/>
        </w:rPr>
      </w:pPr>
    </w:p>
    <w:p w:rsidR="00191254" w:rsidRPr="00876813" w:rsidRDefault="00191254" w:rsidP="00191254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1254" w:rsidRPr="00EA015E" w:rsidRDefault="00191254" w:rsidP="00191254">
      <w:pPr>
        <w:jc w:val="center"/>
        <w:rPr>
          <w:b/>
          <w:sz w:val="16"/>
          <w:szCs w:val="16"/>
        </w:rPr>
      </w:pPr>
    </w:p>
    <w:p w:rsidR="00191254" w:rsidRPr="00876813" w:rsidRDefault="004F23C2" w:rsidP="001912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1254">
        <w:rPr>
          <w:b/>
          <w:sz w:val="28"/>
          <w:szCs w:val="28"/>
        </w:rPr>
        <w:t>«</w:t>
      </w:r>
      <w:proofErr w:type="gramStart"/>
      <w:r w:rsidR="002A0034">
        <w:rPr>
          <w:b/>
          <w:sz w:val="28"/>
          <w:szCs w:val="28"/>
        </w:rPr>
        <w:t>05</w:t>
      </w:r>
      <w:r w:rsidR="00191254">
        <w:rPr>
          <w:b/>
          <w:sz w:val="28"/>
          <w:szCs w:val="28"/>
        </w:rPr>
        <w:t>»</w:t>
      </w:r>
      <w:r w:rsidR="002A0034">
        <w:rPr>
          <w:b/>
          <w:sz w:val="28"/>
          <w:szCs w:val="28"/>
        </w:rPr>
        <w:t xml:space="preserve"> </w:t>
      </w:r>
      <w:r w:rsidR="00191254">
        <w:rPr>
          <w:b/>
          <w:sz w:val="28"/>
          <w:szCs w:val="28"/>
        </w:rPr>
        <w:t xml:space="preserve"> </w:t>
      </w:r>
      <w:r w:rsidR="002A0034">
        <w:rPr>
          <w:b/>
          <w:sz w:val="28"/>
          <w:szCs w:val="28"/>
        </w:rPr>
        <w:t>июня</w:t>
      </w:r>
      <w:proofErr w:type="gramEnd"/>
      <w:r w:rsidR="00D65082">
        <w:rPr>
          <w:b/>
          <w:sz w:val="28"/>
          <w:szCs w:val="28"/>
        </w:rPr>
        <w:t xml:space="preserve"> </w:t>
      </w:r>
      <w:r w:rsidR="00B07604">
        <w:rPr>
          <w:b/>
          <w:sz w:val="28"/>
          <w:szCs w:val="28"/>
        </w:rPr>
        <w:t xml:space="preserve"> </w:t>
      </w:r>
      <w:r w:rsidR="00D6508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91254">
          <w:rPr>
            <w:b/>
            <w:sz w:val="28"/>
            <w:szCs w:val="28"/>
          </w:rPr>
          <w:t xml:space="preserve">2018 </w:t>
        </w:r>
        <w:r w:rsidR="00191254" w:rsidRPr="00876813">
          <w:rPr>
            <w:b/>
            <w:sz w:val="28"/>
            <w:szCs w:val="28"/>
          </w:rPr>
          <w:t>г</w:t>
        </w:r>
      </w:smartTag>
      <w:r w:rsidR="00191254" w:rsidRPr="00876813">
        <w:rPr>
          <w:b/>
          <w:sz w:val="28"/>
          <w:szCs w:val="28"/>
        </w:rPr>
        <w:t xml:space="preserve">.                         </w:t>
      </w:r>
      <w:r w:rsidR="00191254" w:rsidRPr="00191254">
        <w:rPr>
          <w:b/>
          <w:sz w:val="28"/>
          <w:szCs w:val="28"/>
        </w:rPr>
        <w:t xml:space="preserve">                           </w:t>
      </w:r>
      <w:r w:rsidR="00191254" w:rsidRPr="00876813">
        <w:rPr>
          <w:b/>
          <w:sz w:val="28"/>
          <w:szCs w:val="28"/>
        </w:rPr>
        <w:t xml:space="preserve">            №</w:t>
      </w:r>
      <w:r w:rsidR="00191254">
        <w:rPr>
          <w:b/>
          <w:sz w:val="28"/>
          <w:szCs w:val="28"/>
        </w:rPr>
        <w:t xml:space="preserve"> </w:t>
      </w:r>
      <w:r w:rsidR="002A0034">
        <w:rPr>
          <w:b/>
          <w:sz w:val="28"/>
          <w:szCs w:val="28"/>
        </w:rPr>
        <w:t>60</w:t>
      </w:r>
      <w:r w:rsidR="00B07604">
        <w:rPr>
          <w:b/>
          <w:sz w:val="28"/>
          <w:szCs w:val="28"/>
        </w:rPr>
        <w:t xml:space="preserve"> </w:t>
      </w:r>
    </w:p>
    <w:p w:rsidR="00005F74" w:rsidRDefault="00005F74" w:rsidP="00005F74">
      <w:pPr>
        <w:rPr>
          <w:b/>
          <w:sz w:val="28"/>
          <w:szCs w:val="28"/>
        </w:rPr>
      </w:pPr>
    </w:p>
    <w:p w:rsidR="00005F74" w:rsidRPr="00191254" w:rsidRDefault="00226C43" w:rsidP="00B07604">
      <w:pPr>
        <w:jc w:val="center"/>
        <w:rPr>
          <w:sz w:val="28"/>
          <w:szCs w:val="28"/>
        </w:rPr>
      </w:pPr>
      <w:r w:rsidRPr="00191254">
        <w:rPr>
          <w:sz w:val="28"/>
          <w:szCs w:val="28"/>
        </w:rPr>
        <w:t xml:space="preserve">Об </w:t>
      </w:r>
      <w:proofErr w:type="gramStart"/>
      <w:r w:rsidRPr="00191254">
        <w:rPr>
          <w:sz w:val="28"/>
          <w:szCs w:val="28"/>
        </w:rPr>
        <w:t>утверждении</w:t>
      </w:r>
      <w:r w:rsidR="00005F74" w:rsidRPr="00191254">
        <w:rPr>
          <w:sz w:val="28"/>
          <w:szCs w:val="28"/>
        </w:rPr>
        <w:t xml:space="preserve">  </w:t>
      </w:r>
      <w:r w:rsidR="00871AC8">
        <w:rPr>
          <w:sz w:val="28"/>
          <w:szCs w:val="28"/>
        </w:rPr>
        <w:t>П</w:t>
      </w:r>
      <w:r w:rsidR="00005F74" w:rsidRPr="00191254">
        <w:rPr>
          <w:sz w:val="28"/>
          <w:szCs w:val="28"/>
        </w:rPr>
        <w:t>рограммы</w:t>
      </w:r>
      <w:proofErr w:type="gramEnd"/>
      <w:r w:rsidR="00B07604">
        <w:rPr>
          <w:sz w:val="28"/>
          <w:szCs w:val="28"/>
        </w:rPr>
        <w:t xml:space="preserve"> к</w:t>
      </w:r>
      <w:r w:rsidR="00B07604" w:rsidRPr="00191254">
        <w:rPr>
          <w:sz w:val="28"/>
          <w:szCs w:val="28"/>
        </w:rPr>
        <w:t>омплексного развития</w:t>
      </w:r>
    </w:p>
    <w:p w:rsidR="00005F74" w:rsidRPr="00191254" w:rsidRDefault="00005F74" w:rsidP="00B07604">
      <w:pPr>
        <w:jc w:val="center"/>
        <w:rPr>
          <w:sz w:val="28"/>
          <w:szCs w:val="28"/>
        </w:rPr>
      </w:pPr>
      <w:r w:rsidRPr="00191254">
        <w:rPr>
          <w:sz w:val="28"/>
          <w:szCs w:val="28"/>
        </w:rPr>
        <w:t>систем</w:t>
      </w:r>
      <w:r w:rsidR="00D65082">
        <w:rPr>
          <w:sz w:val="28"/>
          <w:szCs w:val="28"/>
        </w:rPr>
        <w:t xml:space="preserve"> </w:t>
      </w:r>
      <w:r w:rsidR="002C61C6" w:rsidRPr="00191254">
        <w:rPr>
          <w:sz w:val="28"/>
          <w:szCs w:val="28"/>
        </w:rPr>
        <w:t>к</w:t>
      </w:r>
      <w:r w:rsidRPr="00191254">
        <w:rPr>
          <w:sz w:val="28"/>
          <w:szCs w:val="28"/>
        </w:rPr>
        <w:t>оммунальной инфраструктуры</w:t>
      </w:r>
      <w:r w:rsidR="00B07604">
        <w:rPr>
          <w:sz w:val="28"/>
          <w:szCs w:val="28"/>
        </w:rPr>
        <w:t xml:space="preserve"> </w:t>
      </w:r>
      <w:proofErr w:type="spellStart"/>
      <w:r w:rsidR="00B07604" w:rsidRPr="00191254">
        <w:rPr>
          <w:sz w:val="28"/>
          <w:szCs w:val="28"/>
        </w:rPr>
        <w:t>Новогригорьевского</w:t>
      </w:r>
      <w:proofErr w:type="spellEnd"/>
    </w:p>
    <w:p w:rsidR="00C8379D" w:rsidRPr="00191254" w:rsidRDefault="00005F74" w:rsidP="00B07604">
      <w:pPr>
        <w:jc w:val="center"/>
        <w:rPr>
          <w:sz w:val="28"/>
          <w:szCs w:val="28"/>
        </w:rPr>
      </w:pPr>
      <w:r w:rsidRPr="00191254">
        <w:rPr>
          <w:sz w:val="28"/>
          <w:szCs w:val="28"/>
        </w:rPr>
        <w:t>сельского поселения</w:t>
      </w:r>
      <w:r w:rsidR="00B07604">
        <w:rPr>
          <w:sz w:val="28"/>
          <w:szCs w:val="28"/>
        </w:rPr>
        <w:t xml:space="preserve"> на период 2018-2028 годов</w:t>
      </w:r>
    </w:p>
    <w:p w:rsidR="00005F74" w:rsidRDefault="00005F74" w:rsidP="00871AC8"/>
    <w:p w:rsidR="00005F74" w:rsidRDefault="00005F74" w:rsidP="00005F74">
      <w:pPr>
        <w:rPr>
          <w:sz w:val="28"/>
          <w:szCs w:val="28"/>
        </w:rPr>
      </w:pPr>
    </w:p>
    <w:p w:rsidR="000B4851" w:rsidRDefault="002C61C6" w:rsidP="00BE6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г. №131-ФЗ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r w:rsidR="00FD2F5B">
        <w:rPr>
          <w:sz w:val="28"/>
          <w:szCs w:val="28"/>
        </w:rPr>
        <w:t>постановлением Правительства Российской Федерации от 14.06.2013г. №502 «Об утверждении требований к программам комплексного развития си</w:t>
      </w:r>
      <w:r w:rsidR="00FD2F5B">
        <w:rPr>
          <w:sz w:val="28"/>
          <w:szCs w:val="28"/>
        </w:rPr>
        <w:t>с</w:t>
      </w:r>
      <w:r w:rsidR="00FD2F5B">
        <w:rPr>
          <w:sz w:val="28"/>
          <w:szCs w:val="28"/>
        </w:rPr>
        <w:t xml:space="preserve">тем коммунальной инфраструктуры поселения, городских округов», </w:t>
      </w:r>
      <w:r w:rsidR="006D58F2" w:rsidRPr="006D58F2">
        <w:rPr>
          <w:sz w:val="28"/>
          <w:szCs w:val="28"/>
        </w:rPr>
        <w:t xml:space="preserve">Решением </w:t>
      </w:r>
      <w:proofErr w:type="spellStart"/>
      <w:r w:rsidR="006D58F2" w:rsidRPr="006D58F2">
        <w:rPr>
          <w:sz w:val="28"/>
          <w:szCs w:val="28"/>
        </w:rPr>
        <w:t>Иловлинской</w:t>
      </w:r>
      <w:proofErr w:type="spellEnd"/>
      <w:r w:rsidR="006D58F2" w:rsidRPr="006D58F2">
        <w:rPr>
          <w:sz w:val="28"/>
          <w:szCs w:val="28"/>
        </w:rPr>
        <w:t xml:space="preserve"> районной думы  № 49/292 от 15.12.2017 года «Об утверждении г</w:t>
      </w:r>
      <w:r w:rsidR="006D58F2" w:rsidRPr="006D58F2">
        <w:rPr>
          <w:sz w:val="28"/>
          <w:szCs w:val="28"/>
        </w:rPr>
        <w:t>е</w:t>
      </w:r>
      <w:r w:rsidR="006D58F2" w:rsidRPr="006D58F2">
        <w:rPr>
          <w:sz w:val="28"/>
          <w:szCs w:val="28"/>
        </w:rPr>
        <w:t xml:space="preserve">нерального плана и установки границ населенного пункта </w:t>
      </w:r>
      <w:proofErr w:type="spellStart"/>
      <w:r w:rsidR="006D58F2" w:rsidRPr="006D58F2">
        <w:rPr>
          <w:sz w:val="28"/>
          <w:szCs w:val="28"/>
        </w:rPr>
        <w:t>Новогригорьевского</w:t>
      </w:r>
      <w:proofErr w:type="spellEnd"/>
      <w:r w:rsidR="006D58F2" w:rsidRPr="006D58F2">
        <w:rPr>
          <w:sz w:val="28"/>
          <w:szCs w:val="28"/>
        </w:rPr>
        <w:t xml:space="preserve"> сельского поселения </w:t>
      </w:r>
      <w:proofErr w:type="spellStart"/>
      <w:r w:rsidR="006D58F2" w:rsidRPr="006D58F2">
        <w:rPr>
          <w:sz w:val="28"/>
          <w:szCs w:val="28"/>
        </w:rPr>
        <w:t>Иловлинского</w:t>
      </w:r>
      <w:proofErr w:type="spellEnd"/>
      <w:r w:rsidR="006D58F2" w:rsidRPr="006D58F2">
        <w:rPr>
          <w:sz w:val="28"/>
          <w:szCs w:val="28"/>
        </w:rPr>
        <w:t xml:space="preserve"> района Волгоградской области»</w:t>
      </w:r>
      <w:r w:rsidRPr="006D58F2">
        <w:rPr>
          <w:sz w:val="28"/>
          <w:szCs w:val="28"/>
        </w:rPr>
        <w:t>,</w:t>
      </w:r>
      <w:r w:rsidR="003802C0">
        <w:rPr>
          <w:sz w:val="28"/>
          <w:szCs w:val="28"/>
        </w:rPr>
        <w:t xml:space="preserve"> </w:t>
      </w:r>
      <w:r w:rsidR="00FD2F5B">
        <w:rPr>
          <w:sz w:val="28"/>
          <w:szCs w:val="28"/>
        </w:rPr>
        <w:t>Постано</w:t>
      </w:r>
      <w:r w:rsidR="00FD2F5B">
        <w:rPr>
          <w:sz w:val="28"/>
          <w:szCs w:val="28"/>
        </w:rPr>
        <w:t>в</w:t>
      </w:r>
      <w:r w:rsidR="00FD2F5B">
        <w:rPr>
          <w:sz w:val="28"/>
          <w:szCs w:val="28"/>
        </w:rPr>
        <w:t xml:space="preserve">лением администрации </w:t>
      </w:r>
      <w:proofErr w:type="spellStart"/>
      <w:r w:rsidR="00FD2F5B">
        <w:rPr>
          <w:sz w:val="28"/>
          <w:szCs w:val="28"/>
        </w:rPr>
        <w:t>Нов</w:t>
      </w:r>
      <w:r w:rsidR="00FD2F5B">
        <w:rPr>
          <w:sz w:val="28"/>
          <w:szCs w:val="28"/>
        </w:rPr>
        <w:t>о</w:t>
      </w:r>
      <w:r w:rsidR="00FD2F5B">
        <w:rPr>
          <w:sz w:val="28"/>
          <w:szCs w:val="28"/>
        </w:rPr>
        <w:t>григорьевского</w:t>
      </w:r>
      <w:proofErr w:type="spellEnd"/>
      <w:r w:rsidR="00FD2F5B">
        <w:rPr>
          <w:sz w:val="28"/>
          <w:szCs w:val="28"/>
        </w:rPr>
        <w:t xml:space="preserve"> сельского поселения от 29.05.2018г. №53 «Об утверждении Схемы водоснабжения и водоотведения </w:t>
      </w:r>
      <w:proofErr w:type="spellStart"/>
      <w:r w:rsidR="00FD2F5B">
        <w:rPr>
          <w:sz w:val="28"/>
          <w:szCs w:val="28"/>
        </w:rPr>
        <w:t>Новогригорье</w:t>
      </w:r>
      <w:r w:rsidR="00FD2F5B">
        <w:rPr>
          <w:sz w:val="28"/>
          <w:szCs w:val="28"/>
        </w:rPr>
        <w:t>в</w:t>
      </w:r>
      <w:r w:rsidR="00FD2F5B">
        <w:rPr>
          <w:sz w:val="28"/>
          <w:szCs w:val="28"/>
        </w:rPr>
        <w:t>ского</w:t>
      </w:r>
      <w:proofErr w:type="spellEnd"/>
      <w:r w:rsidR="00FD2F5B">
        <w:rPr>
          <w:sz w:val="28"/>
          <w:szCs w:val="28"/>
        </w:rPr>
        <w:t xml:space="preserve"> сельского поселения </w:t>
      </w:r>
      <w:proofErr w:type="spellStart"/>
      <w:r w:rsidR="00FD2F5B">
        <w:rPr>
          <w:sz w:val="28"/>
          <w:szCs w:val="28"/>
        </w:rPr>
        <w:t>Иловлинского</w:t>
      </w:r>
      <w:proofErr w:type="spellEnd"/>
      <w:r w:rsidR="00FD2F5B">
        <w:rPr>
          <w:sz w:val="28"/>
          <w:szCs w:val="28"/>
        </w:rPr>
        <w:t xml:space="preserve"> муниципального района Волгогра</w:t>
      </w:r>
      <w:r w:rsidR="00FD2F5B">
        <w:rPr>
          <w:sz w:val="28"/>
          <w:szCs w:val="28"/>
        </w:rPr>
        <w:t>д</w:t>
      </w:r>
      <w:r w:rsidR="00FD2F5B">
        <w:rPr>
          <w:sz w:val="28"/>
          <w:szCs w:val="28"/>
        </w:rPr>
        <w:t xml:space="preserve">ской области на период 2018-2028 годов», руководствуясь Уставом </w:t>
      </w:r>
      <w:proofErr w:type="spellStart"/>
      <w:r w:rsidR="00FD2F5B">
        <w:rPr>
          <w:sz w:val="28"/>
          <w:szCs w:val="28"/>
        </w:rPr>
        <w:t>Новогр</w:t>
      </w:r>
      <w:r w:rsidR="00FD2F5B">
        <w:rPr>
          <w:sz w:val="28"/>
          <w:szCs w:val="28"/>
        </w:rPr>
        <w:t>и</w:t>
      </w:r>
      <w:r w:rsidR="00FD2F5B">
        <w:rPr>
          <w:sz w:val="28"/>
          <w:szCs w:val="28"/>
        </w:rPr>
        <w:t>горьевского</w:t>
      </w:r>
      <w:proofErr w:type="spellEnd"/>
      <w:r w:rsidR="00FD2F5B">
        <w:rPr>
          <w:sz w:val="28"/>
          <w:szCs w:val="28"/>
        </w:rPr>
        <w:t xml:space="preserve"> сельского поселения , </w:t>
      </w:r>
      <w:r w:rsidR="00005F74">
        <w:rPr>
          <w:sz w:val="28"/>
          <w:szCs w:val="28"/>
        </w:rPr>
        <w:t xml:space="preserve">администрация </w:t>
      </w:r>
      <w:proofErr w:type="spellStart"/>
      <w:r w:rsidR="00191254">
        <w:rPr>
          <w:sz w:val="28"/>
          <w:szCs w:val="28"/>
        </w:rPr>
        <w:t>Новогригорьевского</w:t>
      </w:r>
      <w:proofErr w:type="spellEnd"/>
      <w:r w:rsidR="00005F74">
        <w:rPr>
          <w:sz w:val="28"/>
          <w:szCs w:val="28"/>
        </w:rPr>
        <w:t xml:space="preserve"> сельск</w:t>
      </w:r>
      <w:r w:rsidR="00005F74">
        <w:rPr>
          <w:sz w:val="28"/>
          <w:szCs w:val="28"/>
        </w:rPr>
        <w:t>о</w:t>
      </w:r>
      <w:r w:rsidR="00005F74">
        <w:rPr>
          <w:sz w:val="28"/>
          <w:szCs w:val="28"/>
        </w:rPr>
        <w:t>го поселения</w:t>
      </w:r>
      <w:r w:rsidR="000B4851">
        <w:rPr>
          <w:sz w:val="28"/>
          <w:szCs w:val="28"/>
        </w:rPr>
        <w:t xml:space="preserve"> Иловлинского муниципального района Волгоградской о</w:t>
      </w:r>
      <w:r w:rsidR="000B4851">
        <w:rPr>
          <w:sz w:val="28"/>
          <w:szCs w:val="28"/>
        </w:rPr>
        <w:t>б</w:t>
      </w:r>
      <w:r w:rsidR="000B4851">
        <w:rPr>
          <w:sz w:val="28"/>
          <w:szCs w:val="28"/>
        </w:rPr>
        <w:t>ласти</w:t>
      </w:r>
    </w:p>
    <w:p w:rsidR="000B4851" w:rsidRPr="00FD2F5B" w:rsidRDefault="000B4851" w:rsidP="00BE6561">
      <w:pPr>
        <w:ind w:firstLine="540"/>
        <w:jc w:val="both"/>
        <w:rPr>
          <w:sz w:val="16"/>
          <w:szCs w:val="16"/>
        </w:rPr>
      </w:pPr>
    </w:p>
    <w:p w:rsidR="000B4851" w:rsidRDefault="000B4851" w:rsidP="00BE6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05F74">
        <w:rPr>
          <w:sz w:val="28"/>
          <w:szCs w:val="28"/>
        </w:rPr>
        <w:t>:</w:t>
      </w:r>
    </w:p>
    <w:p w:rsidR="00005F74" w:rsidRPr="00FD2F5B" w:rsidRDefault="00005F74" w:rsidP="00BE6561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871AC8" w:rsidRDefault="003802C0" w:rsidP="0000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26C43">
        <w:rPr>
          <w:sz w:val="28"/>
          <w:szCs w:val="28"/>
        </w:rPr>
        <w:t xml:space="preserve"> Утвердить</w:t>
      </w:r>
      <w:r w:rsidR="00C8379D">
        <w:rPr>
          <w:sz w:val="28"/>
          <w:szCs w:val="28"/>
        </w:rPr>
        <w:t xml:space="preserve"> </w:t>
      </w:r>
      <w:r w:rsidR="00871AC8">
        <w:rPr>
          <w:sz w:val="28"/>
          <w:szCs w:val="28"/>
        </w:rPr>
        <w:t>П</w:t>
      </w:r>
      <w:r w:rsidR="00C8379D">
        <w:rPr>
          <w:sz w:val="28"/>
          <w:szCs w:val="28"/>
        </w:rPr>
        <w:t>рограмму комплексного развития систем коммунальной инфраструктуры</w:t>
      </w:r>
      <w:r w:rsidR="00005F74">
        <w:rPr>
          <w:sz w:val="28"/>
          <w:szCs w:val="28"/>
        </w:rPr>
        <w:t xml:space="preserve"> </w:t>
      </w:r>
      <w:r w:rsidR="00C8379D">
        <w:rPr>
          <w:sz w:val="28"/>
          <w:szCs w:val="28"/>
        </w:rPr>
        <w:t xml:space="preserve"> </w:t>
      </w:r>
      <w:r w:rsidR="00005F74">
        <w:rPr>
          <w:sz w:val="28"/>
          <w:szCs w:val="28"/>
        </w:rPr>
        <w:t xml:space="preserve"> </w:t>
      </w:r>
      <w:r w:rsidR="00191254">
        <w:rPr>
          <w:sz w:val="28"/>
          <w:szCs w:val="28"/>
        </w:rPr>
        <w:t>Новогригорьевского</w:t>
      </w:r>
      <w:r w:rsidR="00A428B4">
        <w:rPr>
          <w:sz w:val="28"/>
          <w:szCs w:val="28"/>
        </w:rPr>
        <w:t xml:space="preserve"> </w:t>
      </w:r>
      <w:r w:rsidR="00005F74">
        <w:rPr>
          <w:sz w:val="28"/>
          <w:szCs w:val="28"/>
        </w:rPr>
        <w:t xml:space="preserve">сельского </w:t>
      </w:r>
      <w:proofErr w:type="gramStart"/>
      <w:r w:rsidR="00005F74">
        <w:rPr>
          <w:sz w:val="28"/>
          <w:szCs w:val="28"/>
        </w:rPr>
        <w:t xml:space="preserve">поселения </w:t>
      </w:r>
      <w:r w:rsidR="00226C43">
        <w:rPr>
          <w:sz w:val="28"/>
          <w:szCs w:val="28"/>
        </w:rPr>
        <w:t xml:space="preserve"> на</w:t>
      </w:r>
      <w:proofErr w:type="gramEnd"/>
      <w:r w:rsidR="00226C43">
        <w:rPr>
          <w:sz w:val="28"/>
          <w:szCs w:val="28"/>
        </w:rPr>
        <w:t xml:space="preserve"> период 20</w:t>
      </w:r>
      <w:r w:rsidR="00FD3954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="00FD3954">
        <w:rPr>
          <w:sz w:val="28"/>
          <w:szCs w:val="28"/>
        </w:rPr>
        <w:t>20</w:t>
      </w:r>
      <w:r w:rsidR="001E5792">
        <w:rPr>
          <w:sz w:val="28"/>
          <w:szCs w:val="28"/>
        </w:rPr>
        <w:t>28</w:t>
      </w:r>
      <w:r>
        <w:rPr>
          <w:sz w:val="28"/>
          <w:szCs w:val="28"/>
        </w:rPr>
        <w:t>гг (согласно приложению №1)</w:t>
      </w:r>
    </w:p>
    <w:p w:rsidR="004A6BAD" w:rsidRDefault="00871AC8" w:rsidP="00FD2F5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>
        <w:rPr>
          <w:sz w:val="28"/>
          <w:szCs w:val="28"/>
        </w:rPr>
        <w:t>Новогригр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15.01.2018г. №4 «</w:t>
      </w:r>
      <w:r w:rsidRPr="00191254">
        <w:rPr>
          <w:sz w:val="28"/>
          <w:szCs w:val="28"/>
        </w:rPr>
        <w:t xml:space="preserve">Об </w:t>
      </w:r>
      <w:proofErr w:type="gramStart"/>
      <w:r w:rsidRPr="00191254">
        <w:rPr>
          <w:sz w:val="28"/>
          <w:szCs w:val="28"/>
        </w:rPr>
        <w:t xml:space="preserve">утверждении  </w:t>
      </w:r>
      <w:r>
        <w:rPr>
          <w:sz w:val="28"/>
          <w:szCs w:val="28"/>
        </w:rPr>
        <w:t>П</w:t>
      </w:r>
      <w:r w:rsidRPr="00191254">
        <w:rPr>
          <w:sz w:val="28"/>
          <w:szCs w:val="28"/>
        </w:rPr>
        <w:t>рограммы</w:t>
      </w:r>
      <w:proofErr w:type="gramEnd"/>
      <w:r>
        <w:rPr>
          <w:sz w:val="28"/>
          <w:szCs w:val="28"/>
        </w:rPr>
        <w:t xml:space="preserve"> к</w:t>
      </w:r>
      <w:r w:rsidRPr="00191254">
        <w:rPr>
          <w:sz w:val="28"/>
          <w:szCs w:val="28"/>
        </w:rPr>
        <w:t>омплексного развития систем</w:t>
      </w:r>
      <w:r>
        <w:rPr>
          <w:sz w:val="28"/>
          <w:szCs w:val="28"/>
        </w:rPr>
        <w:t xml:space="preserve"> </w:t>
      </w:r>
      <w:r w:rsidRPr="00191254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 xml:space="preserve"> </w:t>
      </w:r>
      <w:proofErr w:type="spellStart"/>
      <w:r w:rsidRPr="00191254">
        <w:rPr>
          <w:sz w:val="28"/>
          <w:szCs w:val="28"/>
        </w:rPr>
        <w:t>Новогригорьевского</w:t>
      </w:r>
      <w:proofErr w:type="spellEnd"/>
      <w:r w:rsidRPr="00191254">
        <w:rPr>
          <w:sz w:val="28"/>
          <w:szCs w:val="28"/>
        </w:rPr>
        <w:t xml:space="preserve"> сельского посел</w:t>
      </w:r>
      <w:r w:rsidRPr="00191254">
        <w:rPr>
          <w:sz w:val="28"/>
          <w:szCs w:val="28"/>
        </w:rPr>
        <w:t>е</w:t>
      </w:r>
      <w:r w:rsidRPr="00191254">
        <w:rPr>
          <w:sz w:val="28"/>
          <w:szCs w:val="28"/>
        </w:rPr>
        <w:t>ния</w:t>
      </w:r>
      <w:r>
        <w:rPr>
          <w:sz w:val="28"/>
          <w:szCs w:val="28"/>
        </w:rPr>
        <w:t>».</w:t>
      </w:r>
    </w:p>
    <w:p w:rsidR="004A6BAD" w:rsidRDefault="00005F74" w:rsidP="0000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AC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6BAD" w:rsidRPr="00041658">
        <w:rPr>
          <w:sz w:val="28"/>
          <w:szCs w:val="28"/>
        </w:rPr>
        <w:t xml:space="preserve">Настоящее </w:t>
      </w:r>
      <w:r w:rsidR="004A6BAD">
        <w:rPr>
          <w:sz w:val="28"/>
          <w:szCs w:val="28"/>
        </w:rPr>
        <w:t>постановление</w:t>
      </w:r>
      <w:r w:rsidR="004A6BAD" w:rsidRPr="00041658">
        <w:rPr>
          <w:sz w:val="28"/>
          <w:szCs w:val="28"/>
        </w:rPr>
        <w:t xml:space="preserve"> вступает в силу со дня его </w:t>
      </w:r>
      <w:r w:rsidR="004A6BAD">
        <w:rPr>
          <w:sz w:val="28"/>
          <w:szCs w:val="28"/>
        </w:rPr>
        <w:t>обнародования.</w:t>
      </w:r>
    </w:p>
    <w:p w:rsidR="00005F74" w:rsidRDefault="004A6BAD" w:rsidP="00FD2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A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41658">
        <w:rPr>
          <w:sz w:val="28"/>
          <w:szCs w:val="28"/>
        </w:rPr>
        <w:t xml:space="preserve"> </w:t>
      </w:r>
      <w:proofErr w:type="gramStart"/>
      <w:r w:rsidR="00005F74">
        <w:rPr>
          <w:sz w:val="28"/>
          <w:szCs w:val="28"/>
        </w:rPr>
        <w:t>Контроль  за</w:t>
      </w:r>
      <w:proofErr w:type="gramEnd"/>
      <w:r w:rsidR="00005F74">
        <w:rPr>
          <w:sz w:val="28"/>
          <w:szCs w:val="28"/>
        </w:rPr>
        <w:t xml:space="preserve">  исполнением  настоящего  постановления  оставляю  за  с</w:t>
      </w:r>
      <w:r w:rsidR="00005F74">
        <w:rPr>
          <w:sz w:val="28"/>
          <w:szCs w:val="28"/>
        </w:rPr>
        <w:t>о</w:t>
      </w:r>
      <w:r w:rsidR="00005F74">
        <w:rPr>
          <w:sz w:val="28"/>
          <w:szCs w:val="28"/>
        </w:rPr>
        <w:t>бой.</w:t>
      </w:r>
    </w:p>
    <w:p w:rsidR="00005F74" w:rsidRDefault="00005F74" w:rsidP="00005F74">
      <w:pPr>
        <w:rPr>
          <w:sz w:val="28"/>
          <w:szCs w:val="28"/>
        </w:rPr>
      </w:pPr>
    </w:p>
    <w:p w:rsidR="00005F74" w:rsidRDefault="00005F74" w:rsidP="00005F74">
      <w:pPr>
        <w:rPr>
          <w:sz w:val="28"/>
          <w:szCs w:val="28"/>
        </w:rPr>
      </w:pPr>
    </w:p>
    <w:p w:rsidR="00191254" w:rsidRDefault="00191254" w:rsidP="00191254">
      <w:pPr>
        <w:rPr>
          <w:sz w:val="28"/>
          <w:szCs w:val="28"/>
        </w:rPr>
      </w:pPr>
      <w:bookmarkStart w:id="1" w:name="_Toc220824521"/>
      <w:bookmarkStart w:id="2" w:name="_Toc220749622"/>
      <w:bookmarkStart w:id="3" w:name="_Toc165724796"/>
      <w:bookmarkStart w:id="4" w:name="_Toc164743148"/>
      <w:bookmarkStart w:id="5" w:name="_Toc220824524"/>
      <w:bookmarkStart w:id="6" w:name="_Toc220749625"/>
      <w:r w:rsidRPr="00876813">
        <w:rPr>
          <w:sz w:val="28"/>
          <w:szCs w:val="28"/>
        </w:rPr>
        <w:t xml:space="preserve">Глава </w:t>
      </w:r>
      <w:proofErr w:type="spellStart"/>
      <w:proofErr w:type="gramStart"/>
      <w:r w:rsidRPr="00876813">
        <w:rPr>
          <w:sz w:val="28"/>
          <w:szCs w:val="28"/>
        </w:rPr>
        <w:t>Новогригорьевского</w:t>
      </w:r>
      <w:proofErr w:type="spellEnd"/>
      <w:r w:rsidRPr="008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813">
        <w:rPr>
          <w:sz w:val="28"/>
          <w:szCs w:val="28"/>
        </w:rPr>
        <w:t>сельского</w:t>
      </w:r>
      <w:proofErr w:type="gramEnd"/>
      <w:r w:rsidRPr="00876813">
        <w:rPr>
          <w:sz w:val="28"/>
          <w:szCs w:val="28"/>
        </w:rPr>
        <w:t xml:space="preserve"> </w:t>
      </w:r>
    </w:p>
    <w:p w:rsidR="00191254" w:rsidRDefault="00191254" w:rsidP="00191254">
      <w:pPr>
        <w:rPr>
          <w:sz w:val="28"/>
          <w:szCs w:val="28"/>
        </w:rPr>
      </w:pPr>
      <w:proofErr w:type="gramStart"/>
      <w:r w:rsidRPr="00876813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Иловлинского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7F34A5" w:rsidRPr="00FD2F5B" w:rsidRDefault="00191254" w:rsidP="00B50B67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 </w:t>
      </w:r>
      <w:r w:rsidRPr="0087681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FF20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76813">
        <w:rPr>
          <w:sz w:val="28"/>
          <w:szCs w:val="28"/>
        </w:rPr>
        <w:t xml:space="preserve">          В.М. </w:t>
      </w:r>
      <w:proofErr w:type="spellStart"/>
      <w:r w:rsidRPr="00876813">
        <w:rPr>
          <w:sz w:val="28"/>
          <w:szCs w:val="28"/>
        </w:rPr>
        <w:t>Баг</w:t>
      </w:r>
      <w:r w:rsidRPr="00876813">
        <w:rPr>
          <w:sz w:val="28"/>
          <w:szCs w:val="28"/>
        </w:rPr>
        <w:t>а</w:t>
      </w:r>
      <w:r>
        <w:rPr>
          <w:sz w:val="28"/>
          <w:szCs w:val="28"/>
        </w:rPr>
        <w:t>ев</w:t>
      </w:r>
      <w:proofErr w:type="spellEnd"/>
    </w:p>
    <w:p w:rsidR="007F34A5" w:rsidRDefault="007F34A5" w:rsidP="00B50B67"/>
    <w:p w:rsidR="009310E6" w:rsidRDefault="009310E6" w:rsidP="00B50B67"/>
    <w:p w:rsidR="00BE6561" w:rsidRDefault="007F34A5" w:rsidP="00B50B67">
      <w:r>
        <w:t xml:space="preserve">                                                                                                           </w:t>
      </w:r>
      <w:r w:rsidR="00B50B67" w:rsidRPr="00E96E61">
        <w:t>Приложение</w:t>
      </w:r>
      <w:r w:rsidR="00BE6561">
        <w:t xml:space="preserve"> №1 </w:t>
      </w:r>
    </w:p>
    <w:p w:rsidR="00BE6561" w:rsidRDefault="00BE6561" w:rsidP="00BE6561">
      <w:r>
        <w:t xml:space="preserve">                                                                                         </w:t>
      </w:r>
      <w:r w:rsidR="00B50B67" w:rsidRPr="00E96E61">
        <w:t xml:space="preserve"> к постановлению</w:t>
      </w:r>
      <w:r>
        <w:t xml:space="preserve"> администрации</w:t>
      </w:r>
    </w:p>
    <w:p w:rsidR="00BE6561" w:rsidRDefault="00BE6561" w:rsidP="00BE6561">
      <w:r>
        <w:t xml:space="preserve">                                                                                         </w:t>
      </w:r>
      <w:r w:rsidR="00FD3954">
        <w:t>Новогригорьевского</w:t>
      </w:r>
      <w:r w:rsidR="00B50B67" w:rsidRPr="00E96E61">
        <w:t xml:space="preserve"> сельского поселения </w:t>
      </w:r>
    </w:p>
    <w:p w:rsidR="00B50B67" w:rsidRPr="00E96E61" w:rsidRDefault="00BE6561" w:rsidP="00BE6561">
      <w:r>
        <w:t xml:space="preserve">                                                                                          </w:t>
      </w:r>
      <w:proofErr w:type="gramStart"/>
      <w:r>
        <w:t>от</w:t>
      </w:r>
      <w:r w:rsidR="00B50B67" w:rsidRPr="00E96E61">
        <w:t xml:space="preserve"> </w:t>
      </w:r>
      <w:r>
        <w:t xml:space="preserve"> </w:t>
      </w:r>
      <w:r w:rsidR="00D65082">
        <w:t>«</w:t>
      </w:r>
      <w:proofErr w:type="gramEnd"/>
      <w:r w:rsidR="00C44713">
        <w:t xml:space="preserve"> </w:t>
      </w:r>
      <w:r w:rsidR="00D65082">
        <w:t xml:space="preserve">» </w:t>
      </w:r>
      <w:r w:rsidR="00C44713">
        <w:t xml:space="preserve"> </w:t>
      </w:r>
      <w:r>
        <w:t xml:space="preserve"> </w:t>
      </w:r>
      <w:r w:rsidR="000B4851">
        <w:t xml:space="preserve"> 2018г. </w:t>
      </w:r>
      <w:r>
        <w:t xml:space="preserve">  №</w:t>
      </w:r>
      <w:r w:rsidR="009310E6">
        <w:t xml:space="preserve"> </w:t>
      </w:r>
      <w:r w:rsidR="00C44713">
        <w:t xml:space="preserve"> </w:t>
      </w:r>
    </w:p>
    <w:p w:rsidR="00B50B67" w:rsidRPr="00E96E61" w:rsidRDefault="00B50B67" w:rsidP="00B50B67"/>
    <w:p w:rsidR="00B50B67" w:rsidRPr="00BE6561" w:rsidRDefault="00312C77" w:rsidP="00BE6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50B67" w:rsidRPr="00BE6561">
        <w:rPr>
          <w:b/>
          <w:sz w:val="28"/>
          <w:szCs w:val="28"/>
        </w:rPr>
        <w:t>рограмма</w:t>
      </w:r>
      <w:r w:rsidR="00BE6561">
        <w:rPr>
          <w:b/>
          <w:sz w:val="28"/>
          <w:szCs w:val="28"/>
        </w:rPr>
        <w:t xml:space="preserve"> </w:t>
      </w:r>
      <w:r w:rsidR="00B50B67" w:rsidRPr="00BE6561">
        <w:rPr>
          <w:b/>
          <w:sz w:val="28"/>
          <w:szCs w:val="28"/>
        </w:rPr>
        <w:t>комплексного развития</w:t>
      </w:r>
      <w:r w:rsidR="00BE6561">
        <w:rPr>
          <w:b/>
          <w:sz w:val="28"/>
          <w:szCs w:val="28"/>
        </w:rPr>
        <w:t xml:space="preserve"> </w:t>
      </w:r>
      <w:r w:rsidR="00B50B67" w:rsidRPr="00BE6561">
        <w:rPr>
          <w:b/>
          <w:sz w:val="28"/>
          <w:szCs w:val="28"/>
        </w:rPr>
        <w:t xml:space="preserve">систем коммунальной </w:t>
      </w:r>
      <w:proofErr w:type="gramStart"/>
      <w:r w:rsidR="00B50B67" w:rsidRPr="00BE6561">
        <w:rPr>
          <w:b/>
          <w:sz w:val="28"/>
          <w:szCs w:val="28"/>
        </w:rPr>
        <w:t>инфрастру</w:t>
      </w:r>
      <w:r w:rsidR="00B50B67" w:rsidRPr="00BE6561">
        <w:rPr>
          <w:b/>
          <w:sz w:val="28"/>
          <w:szCs w:val="28"/>
        </w:rPr>
        <w:t>к</w:t>
      </w:r>
      <w:r w:rsidR="00B50B67" w:rsidRPr="00BE6561">
        <w:rPr>
          <w:b/>
          <w:sz w:val="28"/>
          <w:szCs w:val="28"/>
        </w:rPr>
        <w:t xml:space="preserve">туры  </w:t>
      </w:r>
      <w:r w:rsidR="00FD3954">
        <w:rPr>
          <w:b/>
          <w:sz w:val="28"/>
          <w:szCs w:val="28"/>
        </w:rPr>
        <w:t>Новогригорьевского</w:t>
      </w:r>
      <w:proofErr w:type="gramEnd"/>
      <w:r w:rsidR="00A428B4">
        <w:rPr>
          <w:b/>
          <w:sz w:val="28"/>
          <w:szCs w:val="28"/>
        </w:rPr>
        <w:t xml:space="preserve"> </w:t>
      </w:r>
      <w:r w:rsidR="00B50B67" w:rsidRPr="00BE6561">
        <w:rPr>
          <w:b/>
          <w:sz w:val="28"/>
          <w:szCs w:val="28"/>
        </w:rPr>
        <w:t>сельского поселения</w:t>
      </w:r>
    </w:p>
    <w:p w:rsidR="00B50B67" w:rsidRPr="00BE6561" w:rsidRDefault="00B50B67" w:rsidP="00BE6561">
      <w:pPr>
        <w:jc w:val="center"/>
        <w:rPr>
          <w:b/>
          <w:sz w:val="28"/>
          <w:szCs w:val="28"/>
        </w:rPr>
      </w:pPr>
      <w:r w:rsidRPr="00BE6561">
        <w:rPr>
          <w:b/>
          <w:sz w:val="28"/>
          <w:szCs w:val="28"/>
        </w:rPr>
        <w:t xml:space="preserve">на период </w:t>
      </w:r>
      <w:r w:rsidR="00FD3954">
        <w:rPr>
          <w:b/>
          <w:sz w:val="28"/>
          <w:szCs w:val="28"/>
        </w:rPr>
        <w:t>2018</w:t>
      </w:r>
      <w:r w:rsidR="00191254">
        <w:rPr>
          <w:b/>
          <w:sz w:val="28"/>
          <w:szCs w:val="28"/>
        </w:rPr>
        <w:t>-202</w:t>
      </w:r>
      <w:r w:rsidR="001E5792">
        <w:rPr>
          <w:b/>
          <w:sz w:val="28"/>
          <w:szCs w:val="28"/>
        </w:rPr>
        <w:t>8</w:t>
      </w:r>
      <w:r w:rsidRPr="00BE6561">
        <w:rPr>
          <w:b/>
          <w:sz w:val="28"/>
          <w:szCs w:val="28"/>
        </w:rPr>
        <w:t>гг.</w:t>
      </w:r>
    </w:p>
    <w:p w:rsidR="00B50B67" w:rsidRPr="00E96E61" w:rsidRDefault="00B50B67" w:rsidP="00B50B67"/>
    <w:p w:rsidR="00B50B67" w:rsidRPr="00E96E61" w:rsidRDefault="00B50B67" w:rsidP="00B50B67"/>
    <w:p w:rsidR="00B50B67" w:rsidRPr="00E96E61" w:rsidRDefault="00B50B67" w:rsidP="00B50B67">
      <w:r w:rsidRPr="00E96E61">
        <w:t>Содержание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8"/>
      </w:tblGrid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534009" w:rsidP="00B50B67">
            <w:r w:rsidRPr="00E96E61">
              <w:t>1. Паспорт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534009" w:rsidP="00B50B67">
            <w:r w:rsidRPr="00E96E61">
              <w:t xml:space="preserve">    1.1. Введение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534009" w:rsidP="00B50B67">
            <w:r w:rsidRPr="00E96E61">
              <w:t xml:space="preserve">    1.2. Цели и задачи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534009" w:rsidP="00FD3954">
            <w:r w:rsidRPr="00E96E61">
              <w:t xml:space="preserve">2. </w:t>
            </w:r>
            <w:proofErr w:type="gramStart"/>
            <w:r w:rsidRPr="00E96E61">
              <w:t xml:space="preserve">Характеристика  </w:t>
            </w:r>
            <w:r w:rsidR="00FD3954">
              <w:t>Новогригорьевского</w:t>
            </w:r>
            <w:proofErr w:type="gramEnd"/>
            <w:r w:rsidRPr="00E96E61">
              <w:t xml:space="preserve"> сельского поселения.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534009" w:rsidP="00FD3954">
            <w:r w:rsidRPr="00E96E61">
              <w:t xml:space="preserve">     </w:t>
            </w:r>
            <w:proofErr w:type="gramStart"/>
            <w:r w:rsidRPr="00E96E61">
              <w:t>2.1  Показатели</w:t>
            </w:r>
            <w:proofErr w:type="gramEnd"/>
            <w:r w:rsidRPr="00E96E61">
              <w:t xml:space="preserve"> сферы жилищно – коммунального хозяйства  </w:t>
            </w:r>
            <w:r w:rsidR="00FD3954">
              <w:t>Новогригорьевского</w:t>
            </w:r>
            <w:r w:rsidRPr="00E96E61">
              <w:t xml:space="preserve"> сельского поселения.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534009" w:rsidP="00B50B67">
            <w:r w:rsidRPr="00E96E61">
              <w:t xml:space="preserve">     2.2 Демографическая ситуация. Прогноз динамики численности населения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Default="00534009" w:rsidP="00B50B67">
            <w:r w:rsidRPr="00E96E61">
              <w:t xml:space="preserve">    2.3 Территориальное планирование.</w:t>
            </w:r>
          </w:p>
          <w:p w:rsidR="00E24A24" w:rsidRDefault="00E24A24" w:rsidP="00B50B67">
            <w:r>
              <w:t>3.Электроснабжение</w:t>
            </w:r>
          </w:p>
          <w:p w:rsidR="00E24A24" w:rsidRPr="00E96E61" w:rsidRDefault="00E24A24" w:rsidP="00B50B67">
            <w:r>
              <w:t xml:space="preserve">     3</w:t>
            </w:r>
            <w:r w:rsidRPr="00E24A24">
              <w:t>.1 Обоснование требований к системе электроснабжения установленным стандартом качества.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E24A24" w:rsidP="00B50B67">
            <w:r>
              <w:t>4</w:t>
            </w:r>
            <w:r w:rsidR="00534009" w:rsidRPr="00E96E61">
              <w:t>. Комплексное развитие систем водоснабжения и водоотведения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534009" w:rsidP="00B50B67">
            <w:r w:rsidRPr="00E96E61">
              <w:t xml:space="preserve">     </w:t>
            </w:r>
            <w:r w:rsidR="00E24A24">
              <w:t>4</w:t>
            </w:r>
            <w:r w:rsidRPr="00E96E61">
              <w:t>.1 Анализ существующей организации систем водоснабжения и водоотведения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Default="00534009" w:rsidP="00B50B67">
            <w:r w:rsidRPr="00E96E61">
              <w:t xml:space="preserve">     </w:t>
            </w:r>
            <w:proofErr w:type="gramStart"/>
            <w:r w:rsidR="00E24A24">
              <w:t>4</w:t>
            </w:r>
            <w:r w:rsidRPr="00E96E61">
              <w:t>.</w:t>
            </w:r>
            <w:r w:rsidR="00371D6A">
              <w:t>2</w:t>
            </w:r>
            <w:r w:rsidRPr="00E96E61">
              <w:t xml:space="preserve">  Ожидаемые</w:t>
            </w:r>
            <w:proofErr w:type="gramEnd"/>
            <w:r w:rsidRPr="00E96E61">
              <w:t xml:space="preserve"> результаты</w:t>
            </w:r>
          </w:p>
          <w:p w:rsidR="00E24A24" w:rsidRPr="00E96E61" w:rsidRDefault="00E24A24" w:rsidP="00B50B67">
            <w:r w:rsidRPr="00E24A24">
              <w:t>5. Обоснование требований к системе газоснабжения установленным стандартом качес</w:t>
            </w:r>
            <w:r w:rsidRPr="00E24A24">
              <w:t>т</w:t>
            </w:r>
            <w:r w:rsidRPr="00E24A24">
              <w:t>ва.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E24A24" w:rsidP="00966B44">
            <w:r>
              <w:t>6</w:t>
            </w:r>
            <w:r w:rsidR="00534009" w:rsidRPr="00E96E61">
              <w:t xml:space="preserve">. Формирование сводного плана программных мероприятий комплексного развития коммунальной </w:t>
            </w:r>
            <w:proofErr w:type="gramStart"/>
            <w:r w:rsidR="00534009" w:rsidRPr="00E96E61">
              <w:t xml:space="preserve">инфраструктуры  </w:t>
            </w:r>
            <w:r w:rsidR="00966B44">
              <w:t>Новогригорьевского</w:t>
            </w:r>
            <w:proofErr w:type="gramEnd"/>
            <w:r w:rsidR="00534009" w:rsidRPr="00E96E61">
              <w:t xml:space="preserve"> сельского поселения.</w:t>
            </w:r>
          </w:p>
        </w:tc>
      </w:tr>
      <w:tr w:rsidR="00534009" w:rsidRPr="00E96E61" w:rsidTr="00660AA2">
        <w:tc>
          <w:tcPr>
            <w:tcW w:w="9468" w:type="dxa"/>
            <w:shd w:val="clear" w:color="auto" w:fill="auto"/>
            <w:vAlign w:val="center"/>
          </w:tcPr>
          <w:p w:rsidR="00534009" w:rsidRPr="00E96E61" w:rsidRDefault="00E24A24" w:rsidP="00B50B67">
            <w:r>
              <w:t>7</w:t>
            </w:r>
            <w:r w:rsidR="00534009" w:rsidRPr="00E96E61">
              <w:t>. Ожидаемые результаты реализации комплексного развития системы коммунальной инфраструктуры.</w:t>
            </w:r>
          </w:p>
        </w:tc>
      </w:tr>
    </w:tbl>
    <w:p w:rsidR="00B50B67" w:rsidRDefault="00B50B67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Default="00D65082" w:rsidP="00B50B67"/>
    <w:p w:rsidR="00D65082" w:rsidRPr="00E96E61" w:rsidRDefault="00D65082" w:rsidP="00B50B67"/>
    <w:p w:rsidR="00B50B67" w:rsidRDefault="00B50B67" w:rsidP="00D65082">
      <w:pPr>
        <w:numPr>
          <w:ilvl w:val="0"/>
          <w:numId w:val="1"/>
        </w:numPr>
        <w:rPr>
          <w:b/>
          <w:sz w:val="28"/>
          <w:szCs w:val="28"/>
        </w:rPr>
      </w:pPr>
      <w:r w:rsidRPr="00BE6561">
        <w:rPr>
          <w:b/>
          <w:sz w:val="28"/>
          <w:szCs w:val="28"/>
        </w:rPr>
        <w:t>Паспорт</w:t>
      </w:r>
    </w:p>
    <w:p w:rsidR="00D65082" w:rsidRPr="00E96E61" w:rsidRDefault="00D65082" w:rsidP="00D65082">
      <w:pPr>
        <w:ind w:left="399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/>
          <w:p w:rsidR="00B50B67" w:rsidRPr="00E96E61" w:rsidRDefault="00B50B67" w:rsidP="00B50B67">
            <w:r w:rsidRPr="00E96E61">
              <w:t>Наименование пр</w:t>
            </w:r>
            <w:r w:rsidRPr="00E96E61">
              <w:t>о</w:t>
            </w:r>
            <w:r w:rsidRPr="00E96E61">
              <w:t>граммы</w:t>
            </w:r>
          </w:p>
          <w:p w:rsidR="00B50B67" w:rsidRPr="00E96E61" w:rsidRDefault="00B50B67" w:rsidP="00B50B67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/>
          <w:p w:rsidR="00B50B67" w:rsidRPr="00E96E61" w:rsidRDefault="00B50B67" w:rsidP="00FD3954">
            <w:r w:rsidRPr="00E96E61">
              <w:t xml:space="preserve">- Программа комплексного развития систем коммунальной </w:t>
            </w:r>
            <w:proofErr w:type="gramStart"/>
            <w:r w:rsidRPr="00E96E61">
              <w:t>инфр</w:t>
            </w:r>
            <w:r w:rsidRPr="00E96E61">
              <w:t>а</w:t>
            </w:r>
            <w:r w:rsidRPr="00E96E61">
              <w:t>структуры  на</w:t>
            </w:r>
            <w:proofErr w:type="gramEnd"/>
            <w:r w:rsidRPr="00E96E61">
              <w:t xml:space="preserve"> территории </w:t>
            </w:r>
            <w:r w:rsidR="00FD3954">
              <w:t>ст</w:t>
            </w:r>
            <w:r w:rsidRPr="00E96E61">
              <w:t xml:space="preserve">. </w:t>
            </w:r>
            <w:r w:rsidR="00FD3954">
              <w:t>Новогригорьевского</w:t>
            </w:r>
            <w:r w:rsidRPr="00E96E61">
              <w:t xml:space="preserve"> сельского пос</w:t>
            </w:r>
            <w:r w:rsidRPr="00E96E61">
              <w:t>е</w:t>
            </w:r>
            <w:r w:rsidRPr="00E96E61">
              <w:t>ления  Иловлинского муниципального района Волгоградской о</w:t>
            </w:r>
            <w:r w:rsidRPr="00E96E61">
              <w:t>б</w:t>
            </w:r>
            <w:r w:rsidRPr="00E96E61">
              <w:t>ласти, на  пери</w:t>
            </w:r>
            <w:r w:rsidR="00BE6561">
              <w:t>о</w:t>
            </w:r>
            <w:r w:rsidRPr="00E96E61">
              <w:t xml:space="preserve">д </w:t>
            </w:r>
            <w:r w:rsidR="00FD3954">
              <w:t>2018</w:t>
            </w:r>
            <w:r w:rsidR="00191254">
              <w:t>-202</w:t>
            </w:r>
            <w:r w:rsidR="001E5792">
              <w:t>8</w:t>
            </w:r>
            <w:r w:rsidRPr="00E96E61">
              <w:t>г.г. ;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Основание для ра</w:t>
            </w:r>
            <w:r w:rsidRPr="00E96E61">
              <w:t>з</w:t>
            </w:r>
            <w:r w:rsidRPr="00E96E61">
              <w:t>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- Федеральная целевая программа «Комплексная программа м</w:t>
            </w:r>
            <w:r w:rsidRPr="00E96E61">
              <w:t>о</w:t>
            </w:r>
            <w:r w:rsidRPr="00E96E61">
              <w:t>дернизации и реформирования ЖКХ на 2010-2020 годы»</w:t>
            </w:r>
          </w:p>
          <w:p w:rsidR="00B50B67" w:rsidRPr="00E96E61" w:rsidRDefault="00B50B67" w:rsidP="00B50B67">
            <w:r w:rsidRPr="00E96E61"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B50B67" w:rsidRPr="00E96E61" w:rsidRDefault="00B50B67" w:rsidP="00B50B67">
            <w:r w:rsidRPr="00E96E61"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6E61">
                <w:t>2004 г</w:t>
              </w:r>
            </w:smartTag>
            <w:r w:rsidRPr="00E96E61">
              <w:t>. № 210-ФЗ «Об основах регулирования тарифов организаций коммунального комплекса»;</w:t>
            </w:r>
          </w:p>
          <w:p w:rsidR="00B50B67" w:rsidRPr="00E96E61" w:rsidRDefault="00B50B67" w:rsidP="00B50B67">
            <w:r w:rsidRPr="00E96E61">
              <w:t xml:space="preserve">- Генеральный план </w:t>
            </w:r>
            <w:proofErr w:type="gramStart"/>
            <w:r w:rsidRPr="00E96E61">
              <w:t>развития  муниципального</w:t>
            </w:r>
            <w:proofErr w:type="gramEnd"/>
            <w:r w:rsidRPr="00E96E61">
              <w:t xml:space="preserve"> образования</w:t>
            </w:r>
            <w:r w:rsidR="00D107C4">
              <w:t xml:space="preserve"> № 49/292 от 15.12.2017 года</w:t>
            </w:r>
            <w:r w:rsidRPr="00E96E61">
              <w:t>.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Заказчик Программы</w:t>
            </w:r>
          </w:p>
          <w:p w:rsidR="00B50B67" w:rsidRPr="00E96E61" w:rsidRDefault="00B50B67" w:rsidP="00B50B67">
            <w:r w:rsidRPr="00E96E61">
              <w:t xml:space="preserve">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FD3954">
            <w:r w:rsidRPr="00E96E61">
              <w:t xml:space="preserve">-  Администрация </w:t>
            </w:r>
            <w:proofErr w:type="gramStart"/>
            <w:r w:rsidR="00FD3954">
              <w:t>Новогригорьевского</w:t>
            </w:r>
            <w:r w:rsidR="00A428B4">
              <w:t xml:space="preserve"> </w:t>
            </w:r>
            <w:r w:rsidRPr="00E96E61">
              <w:t xml:space="preserve"> сельского</w:t>
            </w:r>
            <w:proofErr w:type="gramEnd"/>
            <w:r w:rsidRPr="00E96E61">
              <w:t xml:space="preserve"> поселения Иловлинского муниципального  района Волгоградской области.</w:t>
            </w:r>
          </w:p>
        </w:tc>
      </w:tr>
      <w:tr w:rsidR="00B50B67" w:rsidRPr="00E96E61" w:rsidTr="00D65082">
        <w:trPr>
          <w:trHeight w:val="5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Разработчик Пр</w:t>
            </w:r>
            <w:r w:rsidRPr="00E96E61">
              <w:t>о</w:t>
            </w:r>
            <w:r w:rsidRPr="00E96E61">
              <w:t xml:space="preserve">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FD3954">
            <w:r w:rsidRPr="00E96E61">
              <w:t xml:space="preserve">-  </w:t>
            </w:r>
            <w:proofErr w:type="gramStart"/>
            <w:r w:rsidRPr="00E96E61">
              <w:t xml:space="preserve">Администрация  </w:t>
            </w:r>
            <w:r w:rsidR="00FD3954">
              <w:t>Новогригорьевского</w:t>
            </w:r>
            <w:proofErr w:type="gramEnd"/>
            <w:r w:rsidR="00A428B4">
              <w:t xml:space="preserve"> </w:t>
            </w:r>
            <w:r w:rsidRPr="00E96E61">
              <w:t xml:space="preserve"> сельского поселения Иловлинского муниципального  района Волгоградской области.</w:t>
            </w:r>
          </w:p>
        </w:tc>
      </w:tr>
      <w:tr w:rsidR="00B50B67" w:rsidRPr="00E96E61" w:rsidTr="00D65082">
        <w:trPr>
          <w:trHeight w:val="4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Исполнители Пр</w:t>
            </w:r>
            <w:r w:rsidRPr="00E96E61">
              <w:t>о</w:t>
            </w:r>
            <w:r w:rsidRPr="00E96E61">
              <w:t>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- </w:t>
            </w:r>
            <w:proofErr w:type="gramStart"/>
            <w:r w:rsidRPr="00E96E61">
              <w:t xml:space="preserve">Администрация  </w:t>
            </w:r>
            <w:r w:rsidR="00FD3954">
              <w:t>Новогригорьевского</w:t>
            </w:r>
            <w:proofErr w:type="gramEnd"/>
            <w:r w:rsidR="00A428B4">
              <w:t xml:space="preserve"> </w:t>
            </w:r>
            <w:r w:rsidRPr="00E96E61">
              <w:t xml:space="preserve"> сельского поселения Иловлинского муниципального  района Волгоградской области.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- Обеспечение надежной и стабильной поставки коммунальных ресурсов с использованием энергоэффективных технологий и об</w:t>
            </w:r>
            <w:r w:rsidRPr="00E96E61">
              <w:t>о</w:t>
            </w:r>
            <w:r w:rsidRPr="00E96E61">
              <w:t>рудования;</w:t>
            </w:r>
          </w:p>
          <w:p w:rsidR="00B50B67" w:rsidRPr="00E96E61" w:rsidRDefault="00B50B67" w:rsidP="00B50B67">
            <w:r w:rsidRPr="00E96E61">
              <w:t>- Обеспечение доступной стоимости жилищно-коммуналь</w:t>
            </w:r>
            <w:r w:rsidR="00755D7D">
              <w:t>ных у</w:t>
            </w:r>
            <w:r w:rsidR="00755D7D">
              <w:t>с</w:t>
            </w:r>
            <w:r w:rsidR="00755D7D">
              <w:t>луг нормативного качества.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Задачи Программы </w:t>
            </w:r>
          </w:p>
          <w:p w:rsidR="00B50B67" w:rsidRPr="00E96E61" w:rsidRDefault="00B50B67" w:rsidP="00B50B67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B50B67" w:rsidRPr="00E96E61" w:rsidRDefault="00B50B67" w:rsidP="00B50B67">
            <w:r w:rsidRPr="00E96E61">
              <w:t>- Совершенствование финансово-экономических, договорных о</w:t>
            </w:r>
            <w:r w:rsidRPr="00E96E61">
              <w:t>т</w:t>
            </w:r>
            <w:r w:rsidRPr="00E96E61">
              <w:t>ношений в жилищно-коммунальном комплексе, обеспечение до</w:t>
            </w:r>
            <w:r w:rsidRPr="00E96E61">
              <w:t>с</w:t>
            </w:r>
            <w:r w:rsidRPr="00E96E61">
              <w:t>тупности для населения стоимости жилищно-</w:t>
            </w:r>
            <w:proofErr w:type="gramStart"/>
            <w:r w:rsidRPr="00E96E61">
              <w:t>коммунальных  у</w:t>
            </w:r>
            <w:r w:rsidRPr="00E96E61">
              <w:t>с</w:t>
            </w:r>
            <w:r w:rsidRPr="00E96E61">
              <w:t>луг</w:t>
            </w:r>
            <w:proofErr w:type="gramEnd"/>
            <w:r w:rsidRPr="00E96E61">
              <w:t>;</w:t>
            </w:r>
          </w:p>
          <w:p w:rsidR="00B50B67" w:rsidRPr="00E96E61" w:rsidRDefault="00B50B67" w:rsidP="00B50B67">
            <w:r w:rsidRPr="00E96E61">
              <w:t>- Программное управление энерго</w:t>
            </w:r>
            <w:r w:rsidR="00FD3954">
              <w:t xml:space="preserve"> </w:t>
            </w:r>
            <w:r w:rsidRPr="00E96E61">
              <w:t xml:space="preserve">- </w:t>
            </w:r>
            <w:proofErr w:type="gramStart"/>
            <w:r w:rsidRPr="00E96E61">
              <w:t>и  ресурсосбережением</w:t>
            </w:r>
            <w:proofErr w:type="gramEnd"/>
            <w:r w:rsidRPr="00E96E61">
              <w:t xml:space="preserve"> и</w:t>
            </w:r>
            <w:r w:rsidR="00755D7D">
              <w:t xml:space="preserve"> п</w:t>
            </w:r>
            <w:r w:rsidR="00755D7D">
              <w:t>о</w:t>
            </w:r>
            <w:r w:rsidR="00755D7D">
              <w:t>вышением энергоэффективности.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Срок реализации Программы</w:t>
            </w:r>
          </w:p>
          <w:p w:rsidR="00B50B67" w:rsidRPr="00E96E61" w:rsidRDefault="00B50B67" w:rsidP="00B50B67">
            <w:r w:rsidRPr="00E96E61">
              <w:t xml:space="preserve">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- Реализация программы планируется </w:t>
            </w:r>
            <w:proofErr w:type="gramStart"/>
            <w:r w:rsidRPr="00E96E61">
              <w:t>на  201</w:t>
            </w:r>
            <w:r w:rsidR="00FD3954">
              <w:t>8</w:t>
            </w:r>
            <w:proofErr w:type="gramEnd"/>
            <w:r w:rsidRPr="00E96E61">
              <w:t>- 202</w:t>
            </w:r>
            <w:r w:rsidR="001E5792">
              <w:t>8</w:t>
            </w:r>
            <w:r w:rsidRPr="00E96E61">
              <w:t xml:space="preserve"> годы, в том числе по этапам:</w:t>
            </w:r>
          </w:p>
          <w:p w:rsidR="00B50B67" w:rsidRPr="00E96E61" w:rsidRDefault="00B50B67" w:rsidP="00B50B67">
            <w:r w:rsidRPr="00E96E61">
              <w:t xml:space="preserve">1-й </w:t>
            </w:r>
            <w:proofErr w:type="gramStart"/>
            <w:r w:rsidRPr="00E96E61">
              <w:t xml:space="preserve">этап  </w:t>
            </w:r>
            <w:r w:rsidR="00FD3954">
              <w:t>2018</w:t>
            </w:r>
            <w:proofErr w:type="gramEnd"/>
            <w:r w:rsidRPr="00E96E61">
              <w:t xml:space="preserve">– </w:t>
            </w:r>
            <w:r w:rsidR="00FD3954">
              <w:t>20</w:t>
            </w:r>
            <w:r w:rsidR="001E5792">
              <w:t>22</w:t>
            </w:r>
            <w:r w:rsidRPr="00E96E61">
              <w:t xml:space="preserve"> годы;</w:t>
            </w:r>
          </w:p>
          <w:p w:rsidR="00B50B67" w:rsidRPr="00E96E61" w:rsidRDefault="00B50B67" w:rsidP="00B50B67">
            <w:r w:rsidRPr="00E96E61">
              <w:t xml:space="preserve">2-й </w:t>
            </w:r>
            <w:proofErr w:type="gramStart"/>
            <w:r w:rsidRPr="00E96E61">
              <w:t xml:space="preserve">этап  </w:t>
            </w:r>
            <w:r w:rsidR="00FD3954">
              <w:t>20</w:t>
            </w:r>
            <w:r w:rsidR="001E5792">
              <w:t>22</w:t>
            </w:r>
            <w:proofErr w:type="gramEnd"/>
            <w:r w:rsidRPr="00E96E61">
              <w:t>-20</w:t>
            </w:r>
            <w:r w:rsidR="001E5792">
              <w:t>26</w:t>
            </w:r>
            <w:r w:rsidRPr="00E96E61">
              <w:t xml:space="preserve"> годы;</w:t>
            </w:r>
          </w:p>
          <w:p w:rsidR="00B50B67" w:rsidRPr="00E96E61" w:rsidRDefault="00755D7D" w:rsidP="00FD3954">
            <w:r>
              <w:t xml:space="preserve">3-й </w:t>
            </w:r>
            <w:proofErr w:type="gramStart"/>
            <w:r>
              <w:t>этап  20</w:t>
            </w:r>
            <w:r w:rsidR="00FD3954">
              <w:t>2</w:t>
            </w:r>
            <w:r w:rsidR="001E5792">
              <w:t>6</w:t>
            </w:r>
            <w:proofErr w:type="gramEnd"/>
            <w:r w:rsidR="00FD3954">
              <w:t>-202</w:t>
            </w:r>
            <w:r w:rsidR="001E5792">
              <w:t>8</w:t>
            </w:r>
            <w:r>
              <w:t xml:space="preserve"> годы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Источники финанс</w:t>
            </w:r>
            <w:r w:rsidRPr="00E96E61">
              <w:t>и</w:t>
            </w:r>
            <w:r w:rsidRPr="00E96E61">
              <w:t>рования Програ</w:t>
            </w:r>
            <w:r w:rsidRPr="00E96E61">
              <w:t>м</w:t>
            </w:r>
            <w:r w:rsidRPr="00E96E61">
              <w:t xml:space="preserve">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- Финансирование управления Программой осуществляется за</w:t>
            </w:r>
          </w:p>
          <w:p w:rsidR="00B50B67" w:rsidRPr="00E96E61" w:rsidRDefault="00B50B67" w:rsidP="00B50B67">
            <w:r w:rsidRPr="00E96E61">
              <w:t xml:space="preserve"> счет </w:t>
            </w:r>
            <w:proofErr w:type="gramStart"/>
            <w:r w:rsidRPr="00E96E61">
              <w:t>средств  областного</w:t>
            </w:r>
            <w:proofErr w:type="gramEnd"/>
            <w:r w:rsidRPr="00E96E61">
              <w:t>, муниципального</w:t>
            </w:r>
          </w:p>
          <w:p w:rsidR="00B50B67" w:rsidRPr="00E96E61" w:rsidRDefault="00B50B67" w:rsidP="00B50B67">
            <w:r w:rsidRPr="00E96E61">
              <w:t xml:space="preserve"> бюд</w:t>
            </w:r>
            <w:r w:rsidR="00755D7D">
              <w:t>жетов и внебюджетных источников.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Прогноз ожидаемых социально-экономических р</w:t>
            </w:r>
            <w:r w:rsidRPr="00E96E61">
              <w:t>е</w:t>
            </w:r>
            <w:r w:rsidRPr="00E96E61">
              <w:t xml:space="preserve">зультатов реализации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 Практическая реализация мероприятий программы позволит:</w:t>
            </w:r>
          </w:p>
          <w:p w:rsidR="00B50B67" w:rsidRPr="00E96E61" w:rsidRDefault="00B50B67" w:rsidP="00B50B67">
            <w:r w:rsidRPr="00E96E61">
              <w:t>- повысить качество и надежность жилищно-коммунальных услуг, оказываемых потребителям;</w:t>
            </w:r>
          </w:p>
          <w:p w:rsidR="00B50B67" w:rsidRPr="00E96E61" w:rsidRDefault="00B50B67" w:rsidP="00B50B67">
            <w:r w:rsidRPr="00E96E61">
              <w:t>- повысить эффективность использования систем коммунальной инфраструктуры муниципальн</w:t>
            </w:r>
            <w:r w:rsidR="00A22D4A">
              <w:t xml:space="preserve">ого </w:t>
            </w:r>
            <w:r w:rsidRPr="00E96E61">
              <w:t>образовани</w:t>
            </w:r>
            <w:r w:rsidR="00A22D4A">
              <w:t>я</w:t>
            </w:r>
            <w:r w:rsidR="00FD3954">
              <w:t>.</w:t>
            </w:r>
          </w:p>
        </w:tc>
      </w:tr>
      <w:tr w:rsidR="00B50B67" w:rsidRPr="00E96E61" w:rsidTr="001773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Контроль за испо</w:t>
            </w:r>
            <w:r w:rsidRPr="00E96E61">
              <w:t>л</w:t>
            </w:r>
            <w:r w:rsidRPr="00E96E61">
              <w:t>нением Программы</w:t>
            </w:r>
          </w:p>
          <w:p w:rsidR="00B50B67" w:rsidRPr="00E96E61" w:rsidRDefault="004F23C2" w:rsidP="00B50B67">
            <w:r>
              <w:t>Новогригорьевского</w:t>
            </w:r>
            <w:r w:rsidR="00A428B4">
              <w:t xml:space="preserve"> </w:t>
            </w:r>
            <w:r w:rsidR="00B50B67" w:rsidRPr="00E96E61">
              <w:t>сел</w:t>
            </w:r>
            <w:r w:rsidR="00B50B67" w:rsidRPr="00E96E61">
              <w:t>ь</w:t>
            </w:r>
            <w:r w:rsidR="00B50B67" w:rsidRPr="00E96E61">
              <w:t>ского поселения.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FD3954">
            <w:r w:rsidRPr="00E96E61">
              <w:t>Контроль за ходом реализации мероприятий Программы и орган</w:t>
            </w:r>
            <w:r w:rsidRPr="00E96E61">
              <w:t>и</w:t>
            </w:r>
            <w:r w:rsidRPr="00E96E61">
              <w:t xml:space="preserve">зация комплексных </w:t>
            </w:r>
            <w:proofErr w:type="gramStart"/>
            <w:r w:rsidRPr="00E96E61">
              <w:t>проверок  возлагается</w:t>
            </w:r>
            <w:proofErr w:type="gramEnd"/>
            <w:r w:rsidRPr="00E96E61">
              <w:t xml:space="preserve"> на </w:t>
            </w:r>
            <w:r w:rsidR="00A22D4A">
              <w:t xml:space="preserve">Главу </w:t>
            </w:r>
            <w:r w:rsidR="00FD3954">
              <w:t>Новогригор</w:t>
            </w:r>
            <w:r w:rsidR="00FD3954">
              <w:t>ь</w:t>
            </w:r>
            <w:r w:rsidR="00FD3954">
              <w:t>евского сельского поселен</w:t>
            </w:r>
            <w:r w:rsidR="00A22D4A">
              <w:t>ия.</w:t>
            </w:r>
          </w:p>
        </w:tc>
      </w:tr>
    </w:tbl>
    <w:p w:rsidR="00B50B67" w:rsidRDefault="00B50B67" w:rsidP="00B50B67"/>
    <w:p w:rsidR="00D65082" w:rsidRPr="00E96E61" w:rsidRDefault="00D65082" w:rsidP="00B50B67"/>
    <w:p w:rsidR="00B50B67" w:rsidRPr="00863979" w:rsidRDefault="00B50B67" w:rsidP="00B50B67">
      <w:pPr>
        <w:rPr>
          <w:b/>
        </w:rPr>
      </w:pPr>
      <w:r w:rsidRPr="00755D7D">
        <w:rPr>
          <w:b/>
        </w:rPr>
        <w:lastRenderedPageBreak/>
        <w:t>1.1. Введение</w:t>
      </w:r>
      <w:r w:rsidR="00531C6B">
        <w:rPr>
          <w:b/>
        </w:rPr>
        <w:t>.</w:t>
      </w:r>
    </w:p>
    <w:p w:rsidR="00B50B67" w:rsidRPr="00E96E61" w:rsidRDefault="00B50B67" w:rsidP="00AD4C00">
      <w:pPr>
        <w:ind w:firstLine="540"/>
        <w:jc w:val="both"/>
      </w:pPr>
      <w:r w:rsidRPr="00E96E61"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</w:t>
      </w:r>
      <w:r w:rsidRPr="00E96E61">
        <w:t>с</w:t>
      </w:r>
      <w:r w:rsidRPr="00E96E61">
        <w:t>сийской Федерации», Федеральным законом от 30.12.2004 г. № 210-ФЗ «Об основах регул</w:t>
      </w:r>
      <w:r w:rsidRPr="00E96E61">
        <w:t>и</w:t>
      </w:r>
      <w:r w:rsidRPr="00E96E61">
        <w:t>рования тарифов организаций коммунального комплекса», Градостроительным кодексом,</w:t>
      </w:r>
      <w:r w:rsidR="001E5792">
        <w:t xml:space="preserve"> </w:t>
      </w:r>
      <w:r w:rsidR="00CE2896">
        <w:t xml:space="preserve"> </w:t>
      </w:r>
      <w:r w:rsidR="00BE218F">
        <w:t xml:space="preserve">Решением </w:t>
      </w:r>
      <w:proofErr w:type="spellStart"/>
      <w:r w:rsidR="00BE218F">
        <w:t>Иловлинской</w:t>
      </w:r>
      <w:proofErr w:type="spellEnd"/>
      <w:r w:rsidR="00BE218F">
        <w:t xml:space="preserve"> районной думы</w:t>
      </w:r>
      <w:r w:rsidR="00CE2896">
        <w:t xml:space="preserve"> </w:t>
      </w:r>
      <w:r w:rsidR="00BE218F">
        <w:t xml:space="preserve"> </w:t>
      </w:r>
      <w:r w:rsidR="00CE2896">
        <w:t xml:space="preserve">№ 49/292 от 15.12.2017 года </w:t>
      </w:r>
      <w:r w:rsidR="00BE218F">
        <w:t>«Об утверждении ген</w:t>
      </w:r>
      <w:r w:rsidR="00BE218F">
        <w:t>е</w:t>
      </w:r>
      <w:r w:rsidR="00BE218F">
        <w:t>рального плана и установки границ населенного пункта Новогригорьевского сельского пос</w:t>
      </w:r>
      <w:r w:rsidR="00BE218F">
        <w:t>е</w:t>
      </w:r>
      <w:r w:rsidR="00BE218F">
        <w:t xml:space="preserve">ления Иловлинского района Волгоградской области», </w:t>
      </w:r>
      <w:r w:rsidRPr="00E96E61">
        <w:t xml:space="preserve">Уставом </w:t>
      </w:r>
      <w:r w:rsidR="00FD3954">
        <w:t>Новогр</w:t>
      </w:r>
      <w:r w:rsidR="00FD3954">
        <w:t>и</w:t>
      </w:r>
      <w:r w:rsidR="00FD3954">
        <w:t xml:space="preserve">горьевского </w:t>
      </w:r>
      <w:r w:rsidRPr="00E96E61">
        <w:t>сельского поселения   Иловлинского муниципального ра</w:t>
      </w:r>
      <w:r w:rsidRPr="00E96E61">
        <w:t>й</w:t>
      </w:r>
      <w:r w:rsidRPr="00E96E61">
        <w:t>она.</w:t>
      </w:r>
    </w:p>
    <w:p w:rsidR="00B50B67" w:rsidRPr="00E96E61" w:rsidRDefault="00B50B67" w:rsidP="00AD4C00">
      <w:pPr>
        <w:ind w:firstLine="540"/>
        <w:jc w:val="both"/>
      </w:pPr>
      <w:r w:rsidRPr="00E96E61">
        <w:t>Разработка настоящей Программы вызвана необходимостью формирования совреме</w:t>
      </w:r>
      <w:r w:rsidRPr="00E96E61">
        <w:t>н</w:t>
      </w:r>
      <w:r w:rsidRPr="00E96E61">
        <w:t>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</w:t>
      </w:r>
      <w:r w:rsidRPr="00E96E61">
        <w:t>е</w:t>
      </w:r>
      <w:r w:rsidRPr="00E96E61">
        <w:t>чения инвестиций, формирования новых подходов к строительству жилых и социальных об</w:t>
      </w:r>
      <w:r w:rsidRPr="00E96E61">
        <w:t>ъ</w:t>
      </w:r>
      <w:r w:rsidRPr="00E96E61">
        <w:t>ектов, повышения эффективности градостроительных решений, развития конкуренции в сф</w:t>
      </w:r>
      <w:r w:rsidRPr="00E96E61">
        <w:t>е</w:t>
      </w:r>
      <w:r w:rsidRPr="00E96E61">
        <w:t>ре пр</w:t>
      </w:r>
      <w:r w:rsidRPr="00E96E61">
        <w:t>е</w:t>
      </w:r>
      <w:r w:rsidRPr="00E96E61">
        <w:t>доставления услуг.</w:t>
      </w:r>
    </w:p>
    <w:p w:rsidR="00B50B67" w:rsidRPr="00E96E61" w:rsidRDefault="00B50B67" w:rsidP="00AD4C00">
      <w:pPr>
        <w:ind w:firstLine="540"/>
        <w:jc w:val="both"/>
      </w:pPr>
      <w:r w:rsidRPr="007C1E5E">
        <w:t xml:space="preserve">Коммунальная отрасль   </w:t>
      </w:r>
      <w:r w:rsidR="00FD3954" w:rsidRPr="007C1E5E">
        <w:t>Новогригорьевского</w:t>
      </w:r>
      <w:r w:rsidRPr="007C1E5E">
        <w:t xml:space="preserve"> сельского </w:t>
      </w:r>
      <w:proofErr w:type="gramStart"/>
      <w:r w:rsidRPr="007C1E5E">
        <w:t>поселения  представляет</w:t>
      </w:r>
      <w:proofErr w:type="gramEnd"/>
      <w:r w:rsidRPr="007C1E5E">
        <w:t xml:space="preserve"> </w:t>
      </w:r>
      <w:r w:rsidR="00BE218F" w:rsidRPr="007C1E5E">
        <w:t xml:space="preserve">собой предприятие </w:t>
      </w:r>
      <w:r w:rsidR="00695983" w:rsidRPr="007C1E5E">
        <w:t>МУП «Новогригорьевское ЖКХ»,</w:t>
      </w:r>
      <w:r w:rsidR="00F73EFC" w:rsidRPr="007C1E5E">
        <w:t xml:space="preserve"> которое было создано</w:t>
      </w:r>
      <w:r w:rsidR="007C1E5E" w:rsidRPr="007C1E5E">
        <w:t xml:space="preserve"> 05.12.2017</w:t>
      </w:r>
      <w:r w:rsidR="00F73EFC" w:rsidRPr="007C1E5E">
        <w:t xml:space="preserve">. </w:t>
      </w:r>
      <w:r w:rsidR="00695983" w:rsidRPr="007C1E5E">
        <w:t xml:space="preserve"> </w:t>
      </w:r>
      <w:r w:rsidR="00BE218F" w:rsidRPr="007C1E5E">
        <w:t>предоста</w:t>
      </w:r>
      <w:r w:rsidR="00BE218F" w:rsidRPr="007C1E5E">
        <w:t>в</w:t>
      </w:r>
      <w:r w:rsidR="00BE218F" w:rsidRPr="007C1E5E">
        <w:t>ляюще</w:t>
      </w:r>
      <w:r w:rsidRPr="007C1E5E">
        <w:t xml:space="preserve">е услуги </w:t>
      </w:r>
      <w:proofErr w:type="gramStart"/>
      <w:r w:rsidRPr="007C1E5E">
        <w:t xml:space="preserve">по  </w:t>
      </w:r>
      <w:r w:rsidR="00BE218F" w:rsidRPr="007C1E5E">
        <w:t>холодному</w:t>
      </w:r>
      <w:proofErr w:type="gramEnd"/>
      <w:r w:rsidR="00BE218F" w:rsidRPr="007C1E5E">
        <w:t xml:space="preserve"> водоснабжению</w:t>
      </w:r>
      <w:r w:rsidRPr="007C1E5E">
        <w:t>.</w:t>
      </w:r>
      <w:r w:rsidR="00F73EFC" w:rsidRPr="007C1E5E">
        <w:t xml:space="preserve"> Приказом </w:t>
      </w:r>
      <w:r w:rsidR="00FF20FE" w:rsidRPr="007C1E5E">
        <w:t xml:space="preserve">комитета тарифного регулирования Волгоградской области от 25 апреля </w:t>
      </w:r>
      <w:smartTag w:uri="urn:schemas-microsoft-com:office:smarttags" w:element="metricconverter">
        <w:smartTagPr>
          <w:attr w:name="ProductID" w:val="2018 г"/>
        </w:smartTagPr>
        <w:r w:rsidR="00FF20FE" w:rsidRPr="007C1E5E">
          <w:t>2018 г</w:t>
        </w:r>
      </w:smartTag>
      <w:r w:rsidR="00FF20FE" w:rsidRPr="007C1E5E">
        <w:t xml:space="preserve">. № 13/2 был установлен </w:t>
      </w:r>
      <w:r w:rsidR="00F73EFC" w:rsidRPr="007C1E5E">
        <w:t xml:space="preserve">тариф </w:t>
      </w:r>
      <w:r w:rsidR="00FF20FE" w:rsidRPr="007C1E5E">
        <w:t>на питьевую воду (питьевое водоснабжение) для потребителей МУП» Новогригорьевское ЖКХ».</w:t>
      </w:r>
    </w:p>
    <w:p w:rsidR="00B50B67" w:rsidRPr="00E96E61" w:rsidRDefault="00B50B67" w:rsidP="00AD4C00">
      <w:pPr>
        <w:ind w:firstLine="540"/>
        <w:jc w:val="both"/>
      </w:pPr>
      <w:r w:rsidRPr="00E96E61">
        <w:t>Центральная канализация отсу</w:t>
      </w:r>
      <w:r w:rsidR="00E31755">
        <w:t>т</w:t>
      </w:r>
      <w:r w:rsidRPr="00E96E61">
        <w:t>ствует. Сбор стоков осуществляется в септики с посл</w:t>
      </w:r>
      <w:r w:rsidRPr="00E96E61">
        <w:t>е</w:t>
      </w:r>
      <w:r w:rsidRPr="00E96E61">
        <w:t>дующим вывозом из них автотранспортом.</w:t>
      </w:r>
    </w:p>
    <w:p w:rsidR="00B50B67" w:rsidRPr="00E96E61" w:rsidRDefault="00B50B67" w:rsidP="00AD4C00">
      <w:pPr>
        <w:ind w:firstLine="540"/>
        <w:jc w:val="both"/>
      </w:pPr>
      <w:r w:rsidRPr="00E96E61">
        <w:t>В сфере газоснабжения по состоянию на 01.01.201</w:t>
      </w:r>
      <w:r w:rsidR="00FD3954">
        <w:t>8</w:t>
      </w:r>
      <w:r w:rsidRPr="00E96E61">
        <w:t xml:space="preserve"> </w:t>
      </w:r>
      <w:proofErr w:type="gramStart"/>
      <w:r w:rsidRPr="00E96E61">
        <w:t xml:space="preserve">год </w:t>
      </w:r>
      <w:r w:rsidR="00A428B4">
        <w:t xml:space="preserve"> </w:t>
      </w:r>
      <w:r w:rsidR="00FD3954">
        <w:t>Новогригорьевского</w:t>
      </w:r>
      <w:proofErr w:type="gramEnd"/>
      <w:r w:rsidR="00A428B4">
        <w:t xml:space="preserve"> сельское поселение </w:t>
      </w:r>
      <w:r w:rsidRPr="00E96E61">
        <w:t>газифицир</w:t>
      </w:r>
      <w:r w:rsidR="00BA37D2">
        <w:t>о</w:t>
      </w:r>
      <w:r w:rsidRPr="00E96E61">
        <w:t>ван</w:t>
      </w:r>
      <w:r w:rsidR="00A428B4">
        <w:t xml:space="preserve">о </w:t>
      </w:r>
      <w:r w:rsidRPr="00E96E61">
        <w:t xml:space="preserve">на </w:t>
      </w:r>
      <w:r w:rsidR="001773C9">
        <w:t>92</w:t>
      </w:r>
      <w:r w:rsidRPr="00E96E61">
        <w:t xml:space="preserve"> %</w:t>
      </w:r>
      <w:r w:rsidR="00BA37D2">
        <w:t>.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Содержанием и обслуживанием газовых </w:t>
      </w:r>
      <w:proofErr w:type="gramStart"/>
      <w:r w:rsidRPr="00E96E61">
        <w:t>сетей  на</w:t>
      </w:r>
      <w:proofErr w:type="gramEnd"/>
      <w:r w:rsidRPr="00E96E61">
        <w:t xml:space="preserve"> территории </w:t>
      </w:r>
      <w:r w:rsidR="001773C9">
        <w:t>Новогригорьевского</w:t>
      </w:r>
      <w:r w:rsidR="00A428B4">
        <w:t xml:space="preserve"> сел</w:t>
      </w:r>
      <w:r w:rsidR="00A428B4">
        <w:t>ь</w:t>
      </w:r>
      <w:r w:rsidR="00A428B4">
        <w:t xml:space="preserve">ского поселения </w:t>
      </w:r>
      <w:r w:rsidRPr="00E96E61">
        <w:t xml:space="preserve"> зани</w:t>
      </w:r>
      <w:r w:rsidR="001773C9">
        <w:t>мае</w:t>
      </w:r>
      <w:r w:rsidRPr="00E96E61">
        <w:t xml:space="preserve">тся </w:t>
      </w:r>
      <w:r w:rsidR="001773C9">
        <w:t>организация</w:t>
      </w:r>
      <w:r w:rsidRPr="00E96E61">
        <w:t xml:space="preserve"> Фроловский ООО «Газпром межрегионгаз Волг</w:t>
      </w:r>
      <w:r w:rsidRPr="00E96E61">
        <w:t>о</w:t>
      </w:r>
      <w:r w:rsidRPr="00E96E61">
        <w:t>град».</w:t>
      </w:r>
      <w:r w:rsidR="00BA37D2">
        <w:t xml:space="preserve"> </w:t>
      </w:r>
      <w:r w:rsidRPr="00E96E61">
        <w:t xml:space="preserve">Основная часть электросетей приходится на </w:t>
      </w:r>
      <w:r w:rsidR="00191254">
        <w:t>Иловлинский</w:t>
      </w:r>
      <w:r w:rsidRPr="00E96E61">
        <w:t xml:space="preserve"> участок. Основной задачей энергетиков на перспективу является замена ветхих сетей.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  В сфере электроснабжения на территории </w:t>
      </w:r>
      <w:r w:rsidR="001773C9">
        <w:t>Новогригорьевского</w:t>
      </w:r>
      <w:r w:rsidR="00A428B4">
        <w:t xml:space="preserve"> с/</w:t>
      </w:r>
      <w:proofErr w:type="gramStart"/>
      <w:r w:rsidR="00A428B4">
        <w:t xml:space="preserve">п </w:t>
      </w:r>
      <w:r w:rsidRPr="00E96E61">
        <w:t xml:space="preserve"> работает</w:t>
      </w:r>
      <w:proofErr w:type="gramEnd"/>
      <w:r w:rsidRPr="00E96E61">
        <w:t xml:space="preserve"> </w:t>
      </w:r>
      <w:r w:rsidR="00191254">
        <w:t>ПАО «Волгоградэнергосбыт»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Вывоз твердых бытовых отходов осуществляется на </w:t>
      </w:r>
      <w:r w:rsidR="00BE218F">
        <w:t xml:space="preserve">Логовский </w:t>
      </w:r>
      <w:r w:rsidRPr="00E96E61">
        <w:t>участок</w:t>
      </w:r>
      <w:r w:rsidR="00BE218F">
        <w:t>.</w:t>
      </w:r>
    </w:p>
    <w:p w:rsidR="00BE218F" w:rsidRDefault="00BE218F" w:rsidP="00AD4C00">
      <w:pPr>
        <w:jc w:val="both"/>
        <w:rPr>
          <w:b/>
        </w:rPr>
      </w:pPr>
    </w:p>
    <w:p w:rsidR="00B50B67" w:rsidRPr="00863979" w:rsidRDefault="00B50B67" w:rsidP="00AD4C00">
      <w:pPr>
        <w:jc w:val="both"/>
        <w:rPr>
          <w:b/>
        </w:rPr>
      </w:pPr>
      <w:r w:rsidRPr="00BA37D2">
        <w:rPr>
          <w:b/>
        </w:rPr>
        <w:t>1.2. Цели и задачи</w:t>
      </w:r>
      <w:r w:rsidR="00531C6B">
        <w:rPr>
          <w:b/>
        </w:rPr>
        <w:t>.</w:t>
      </w:r>
    </w:p>
    <w:p w:rsidR="00B50B67" w:rsidRPr="00E96E61" w:rsidRDefault="00B50B67" w:rsidP="00AD4C00">
      <w:pPr>
        <w:ind w:firstLine="540"/>
        <w:jc w:val="both"/>
        <w:rPr>
          <w:highlight w:val="yellow"/>
        </w:rPr>
      </w:pPr>
      <w:r w:rsidRPr="007C1E5E">
        <w:t xml:space="preserve">Целью </w:t>
      </w:r>
      <w:proofErr w:type="gramStart"/>
      <w:r w:rsidRPr="007C1E5E">
        <w:t>разработки</w:t>
      </w:r>
      <w:r w:rsidR="00E31755" w:rsidRPr="007C1E5E">
        <w:t xml:space="preserve"> </w:t>
      </w:r>
      <w:r w:rsidRPr="007C1E5E">
        <w:t xml:space="preserve"> Программы</w:t>
      </w:r>
      <w:proofErr w:type="gramEnd"/>
      <w:r w:rsidRPr="007C1E5E">
        <w:t xml:space="preserve"> комплексного развития систем коммунальной инфр</w:t>
      </w:r>
      <w:r w:rsidRPr="007C1E5E">
        <w:t>а</w:t>
      </w:r>
      <w:r w:rsidRPr="007C1E5E">
        <w:t xml:space="preserve">структуры </w:t>
      </w:r>
      <w:r w:rsidR="00695983" w:rsidRPr="007C1E5E">
        <w:t xml:space="preserve">Новогригорьевского </w:t>
      </w:r>
      <w:r w:rsidR="007C1E5E" w:rsidRPr="007C1E5E">
        <w:t>сельского</w:t>
      </w:r>
      <w:r w:rsidRPr="007C1E5E">
        <w:t xml:space="preserve"> поселения,   является обеспечение развития комм</w:t>
      </w:r>
      <w:r w:rsidRPr="007C1E5E">
        <w:t>у</w:t>
      </w:r>
      <w:r w:rsidRPr="007C1E5E">
        <w:t>нальных систем и объектов, в соответствии с потребностями жилищного и промышленного строител</w:t>
      </w:r>
      <w:r w:rsidRPr="007C1E5E">
        <w:t>ь</w:t>
      </w:r>
      <w:r w:rsidRPr="007C1E5E">
        <w:t>ства, повышение качества производимых</w:t>
      </w:r>
      <w:r w:rsidRPr="00E96E61">
        <w:t xml:space="preserve"> для потребителей коммунальных услуг, улучшение экологической с</w:t>
      </w:r>
      <w:r w:rsidRPr="00E96E61">
        <w:t>и</w:t>
      </w:r>
      <w:r w:rsidRPr="00E96E61">
        <w:t>туации.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Программа комплексного развития систем коммунальной инфраструктуры </w:t>
      </w:r>
      <w:r w:rsidR="001773C9">
        <w:t>Новогр</w:t>
      </w:r>
      <w:r w:rsidR="001773C9">
        <w:t>и</w:t>
      </w:r>
      <w:r w:rsidR="001773C9">
        <w:t>горьевского</w:t>
      </w:r>
      <w:r w:rsidR="00A428B4" w:rsidRPr="00E96E61">
        <w:t xml:space="preserve"> </w:t>
      </w:r>
      <w:r w:rsidRPr="00E96E61">
        <w:t xml:space="preserve">сельского поселения Иловлинского муниципального </w:t>
      </w:r>
      <w:r w:rsidR="001773C9">
        <w:t>района Волгоградской о</w:t>
      </w:r>
      <w:r w:rsidR="001773C9">
        <w:t>б</w:t>
      </w:r>
      <w:r w:rsidR="001773C9">
        <w:t xml:space="preserve">ласти, </w:t>
      </w:r>
      <w:r w:rsidRPr="00E96E61">
        <w:t>представляет собой увязанный по задачам, ресурсам и срокам осуществления перечень мер</w:t>
      </w:r>
      <w:r w:rsidRPr="00E96E61">
        <w:t>о</w:t>
      </w:r>
      <w:r w:rsidRPr="00E96E61">
        <w:t xml:space="preserve">приятий, направленных на обеспечение функционирования и развития коммунальной </w:t>
      </w:r>
      <w:proofErr w:type="gramStart"/>
      <w:r w:rsidRPr="00E96E61">
        <w:t>инфр</w:t>
      </w:r>
      <w:r w:rsidRPr="00E96E61">
        <w:t>а</w:t>
      </w:r>
      <w:r w:rsidRPr="00E96E61">
        <w:t xml:space="preserve">структуры  </w:t>
      </w:r>
      <w:r w:rsidR="00BA37D2">
        <w:t>поселения</w:t>
      </w:r>
      <w:proofErr w:type="gramEnd"/>
      <w:r w:rsidR="00BA37D2">
        <w:t>.</w:t>
      </w:r>
      <w:r w:rsidRPr="00E96E61">
        <w:t xml:space="preserve"> </w:t>
      </w:r>
    </w:p>
    <w:p w:rsidR="00B50B67" w:rsidRPr="00E96E61" w:rsidRDefault="00B50B67" w:rsidP="00AD4C00">
      <w:pPr>
        <w:ind w:firstLine="540"/>
        <w:jc w:val="both"/>
      </w:pPr>
      <w:r w:rsidRPr="00E96E61">
        <w:t>Основными задачами Программы комплексного развития систем коммунальной инфр</w:t>
      </w:r>
      <w:r w:rsidRPr="00E96E61">
        <w:t>а</w:t>
      </w:r>
      <w:r w:rsidRPr="00E96E61">
        <w:t xml:space="preserve">структуры </w:t>
      </w:r>
      <w:r w:rsidR="001773C9">
        <w:t>Новогригорьевского</w:t>
      </w:r>
      <w:r w:rsidRPr="00E96E61">
        <w:t xml:space="preserve"> сельского поселения Иловлинского муниципального района Волгоградской </w:t>
      </w:r>
      <w:proofErr w:type="gramStart"/>
      <w:r w:rsidRPr="00E96E61">
        <w:t>области  являются</w:t>
      </w:r>
      <w:proofErr w:type="gramEnd"/>
      <w:r w:rsidRPr="00E96E61">
        <w:t>:</w:t>
      </w:r>
    </w:p>
    <w:p w:rsidR="00B50B67" w:rsidRPr="00E96E61" w:rsidRDefault="00B50B67" w:rsidP="00AD4C00">
      <w:pPr>
        <w:ind w:firstLine="540"/>
        <w:jc w:val="both"/>
      </w:pPr>
      <w:r w:rsidRPr="00E96E61">
        <w:t>Инженерно-техническая оптимизация коммунальных систем;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Взаимосвязанное перспективное планирование развития коммунальных систем с планом социально-экономического </w:t>
      </w:r>
      <w:proofErr w:type="gramStart"/>
      <w:r w:rsidRPr="00E96E61">
        <w:t>развития  поселения</w:t>
      </w:r>
      <w:proofErr w:type="gramEnd"/>
      <w:r w:rsidR="00BA37D2">
        <w:t>;</w:t>
      </w:r>
    </w:p>
    <w:p w:rsidR="00B50B67" w:rsidRPr="00E96E61" w:rsidRDefault="00B50B67" w:rsidP="00AD4C00">
      <w:pPr>
        <w:ind w:firstLine="540"/>
        <w:jc w:val="both"/>
      </w:pPr>
      <w:r w:rsidRPr="00E96E61">
        <w:t>Обоснование мероприятий по комплексной реконструкции и модернизации;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Повышение надежности систем и качества предоставления </w:t>
      </w:r>
      <w:proofErr w:type="gramStart"/>
      <w:r w:rsidRPr="00E96E61">
        <w:t>коммунальных  услуг</w:t>
      </w:r>
      <w:proofErr w:type="gramEnd"/>
      <w:r w:rsidRPr="00E96E61">
        <w:t>;</w:t>
      </w:r>
    </w:p>
    <w:p w:rsidR="00B50B67" w:rsidRPr="00E96E61" w:rsidRDefault="00B50B67" w:rsidP="00AD4C00">
      <w:pPr>
        <w:ind w:firstLine="540"/>
        <w:jc w:val="both"/>
      </w:pPr>
      <w:r w:rsidRPr="00E96E61">
        <w:t>Совершенствование механизмов развития энергосбережения и повышения энергоэффе</w:t>
      </w:r>
      <w:r w:rsidRPr="00E96E61">
        <w:t>к</w:t>
      </w:r>
      <w:r w:rsidRPr="00E96E61">
        <w:t>тивности коммунальной инфраструктуры;</w:t>
      </w:r>
    </w:p>
    <w:p w:rsidR="00B50B67" w:rsidRPr="00E96E61" w:rsidRDefault="00B50B67" w:rsidP="00AD4C00">
      <w:pPr>
        <w:ind w:firstLine="540"/>
        <w:jc w:val="both"/>
      </w:pPr>
      <w:r w:rsidRPr="00E96E61">
        <w:t>Повышение инвестиционной привлекательности коммунальной инфраструктуры;</w:t>
      </w:r>
    </w:p>
    <w:p w:rsidR="00B50B67" w:rsidRPr="00E96E61" w:rsidRDefault="00B50B67" w:rsidP="00AD4C00">
      <w:pPr>
        <w:ind w:firstLine="540"/>
        <w:jc w:val="both"/>
      </w:pPr>
      <w:r w:rsidRPr="00E96E61">
        <w:lastRenderedPageBreak/>
        <w:t xml:space="preserve">Обеспечение сбалансированности интересов субъектов коммунальной   </w:t>
      </w:r>
      <w:proofErr w:type="gramStart"/>
      <w:r w:rsidRPr="00E96E61">
        <w:t>инфраструктуры  и</w:t>
      </w:r>
      <w:proofErr w:type="gramEnd"/>
      <w:r w:rsidRPr="00E96E61">
        <w:t xml:space="preserve"> потребителей.</w:t>
      </w:r>
    </w:p>
    <w:p w:rsidR="00B50B67" w:rsidRPr="00E96E61" w:rsidRDefault="00B50B67" w:rsidP="00AD4C00">
      <w:pPr>
        <w:ind w:firstLine="540"/>
        <w:jc w:val="both"/>
      </w:pPr>
      <w:r w:rsidRPr="00E96E61">
        <w:t>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комплекса, которые представляют собой:</w:t>
      </w:r>
    </w:p>
    <w:p w:rsidR="00B50B67" w:rsidRPr="00E96E61" w:rsidRDefault="00B50B67" w:rsidP="00AD4C00">
      <w:pPr>
        <w:ind w:firstLine="540"/>
        <w:jc w:val="both"/>
      </w:pPr>
      <w:r w:rsidRPr="00E96E61">
        <w:t>перечень мероприятий по реконструкции, модернизации и капитальному ремонту си</w:t>
      </w:r>
      <w:r w:rsidRPr="00E96E61">
        <w:t>с</w:t>
      </w:r>
      <w:r w:rsidRPr="00E96E61">
        <w:t>тем коммунальной инфраструктуры;</w:t>
      </w:r>
    </w:p>
    <w:p w:rsidR="00B50B67" w:rsidRPr="00E96E61" w:rsidRDefault="00B50B67" w:rsidP="00AD4C00">
      <w:pPr>
        <w:ind w:firstLine="540"/>
        <w:jc w:val="both"/>
      </w:pPr>
      <w:r w:rsidRPr="00E96E61">
        <w:t>срок реализации мероприятий;</w:t>
      </w:r>
    </w:p>
    <w:p w:rsidR="00B50B67" w:rsidRPr="00E96E61" w:rsidRDefault="00B50B67" w:rsidP="00AD4C00">
      <w:pPr>
        <w:ind w:firstLine="540"/>
        <w:jc w:val="both"/>
      </w:pPr>
      <w:r w:rsidRPr="00E96E61">
        <w:t>финансовые потребности на реализацию мероприятий.</w:t>
      </w:r>
    </w:p>
    <w:p w:rsidR="00B50B67" w:rsidRDefault="00B50B67" w:rsidP="00AD4C00">
      <w:pPr>
        <w:ind w:firstLine="540"/>
        <w:jc w:val="both"/>
      </w:pPr>
      <w:r w:rsidRPr="00E96E61">
        <w:t xml:space="preserve">План </w:t>
      </w:r>
      <w:proofErr w:type="gramStart"/>
      <w:r w:rsidRPr="00E96E61">
        <w:t>мероприятий  разработан</w:t>
      </w:r>
      <w:proofErr w:type="gramEnd"/>
      <w:r w:rsidRPr="00E96E61">
        <w:t xml:space="preserve"> в целях повышения качества и надежности услуг, оказ</w:t>
      </w:r>
      <w:r w:rsidRPr="00E96E61">
        <w:t>ы</w:t>
      </w:r>
      <w:r w:rsidRPr="00E96E61">
        <w:t>ваемых в сфере жилищно-коммунального комплекса муниципального образования, на основе анализа существующего состояния инженерных систем коммунальной инфраструктуры.</w:t>
      </w:r>
    </w:p>
    <w:p w:rsidR="00BA37D2" w:rsidRPr="00E96E61" w:rsidRDefault="00BA37D2" w:rsidP="00AD4C00">
      <w:pPr>
        <w:ind w:firstLine="540"/>
        <w:jc w:val="both"/>
      </w:pPr>
    </w:p>
    <w:p w:rsidR="00531C6B" w:rsidRPr="00AD4C00" w:rsidRDefault="00B50B67" w:rsidP="00AD4C00">
      <w:pPr>
        <w:ind w:firstLine="540"/>
        <w:jc w:val="center"/>
        <w:rPr>
          <w:b/>
          <w:sz w:val="28"/>
          <w:szCs w:val="28"/>
        </w:rPr>
      </w:pPr>
      <w:bookmarkStart w:id="7" w:name="_Toc166314947"/>
      <w:bookmarkEnd w:id="1"/>
      <w:bookmarkEnd w:id="2"/>
      <w:bookmarkEnd w:id="3"/>
      <w:bookmarkEnd w:id="4"/>
      <w:r w:rsidRPr="00AD4C00">
        <w:rPr>
          <w:b/>
          <w:sz w:val="28"/>
          <w:szCs w:val="28"/>
        </w:rPr>
        <w:t xml:space="preserve">2. </w:t>
      </w:r>
      <w:bookmarkEnd w:id="7"/>
      <w:r w:rsidRPr="00AD4C00">
        <w:rPr>
          <w:b/>
          <w:sz w:val="28"/>
          <w:szCs w:val="28"/>
        </w:rPr>
        <w:t xml:space="preserve">Характеристика </w:t>
      </w:r>
      <w:r w:rsidR="001773C9" w:rsidRPr="00AD4C00">
        <w:rPr>
          <w:b/>
          <w:sz w:val="28"/>
          <w:szCs w:val="28"/>
        </w:rPr>
        <w:t>Новогригорьевского</w:t>
      </w:r>
      <w:r w:rsidRPr="00AD4C00">
        <w:rPr>
          <w:b/>
          <w:sz w:val="28"/>
          <w:szCs w:val="28"/>
        </w:rPr>
        <w:t xml:space="preserve"> сельского поселения</w:t>
      </w:r>
      <w:r w:rsidR="00531C6B" w:rsidRPr="00AD4C00">
        <w:rPr>
          <w:b/>
          <w:sz w:val="28"/>
          <w:szCs w:val="28"/>
        </w:rPr>
        <w:t>.</w:t>
      </w:r>
    </w:p>
    <w:p w:rsidR="00B50B67" w:rsidRPr="00BA37D2" w:rsidRDefault="00B50B67" w:rsidP="00BA37D2">
      <w:pPr>
        <w:ind w:firstLine="540"/>
        <w:rPr>
          <w:b/>
        </w:rPr>
      </w:pPr>
      <w:r w:rsidRPr="00BA37D2">
        <w:rPr>
          <w:b/>
        </w:rPr>
        <w:t xml:space="preserve">    </w:t>
      </w:r>
    </w:p>
    <w:p w:rsidR="00191254" w:rsidRPr="00191254" w:rsidRDefault="00B50B67" w:rsidP="00AD4C00">
      <w:pPr>
        <w:ind w:firstLine="540"/>
        <w:jc w:val="both"/>
      </w:pPr>
      <w:r w:rsidRPr="00E96E61">
        <w:t xml:space="preserve">     </w:t>
      </w:r>
      <w:r w:rsidR="00191254" w:rsidRPr="00191254">
        <w:t>Новогригорьевское сельское поселение расположено в северо-западной части Ило</w:t>
      </w:r>
      <w:r w:rsidR="00191254" w:rsidRPr="00191254">
        <w:t>в</w:t>
      </w:r>
      <w:r w:rsidR="00191254" w:rsidRPr="00191254">
        <w:t xml:space="preserve">линского района и граничит с Сиротинским, Логовским, Озерским сельскими поселениями </w:t>
      </w:r>
      <w:proofErr w:type="gramStart"/>
      <w:r w:rsidR="00191254" w:rsidRPr="00191254">
        <w:t>Иловлинского  района</w:t>
      </w:r>
      <w:proofErr w:type="gramEnd"/>
      <w:r w:rsidR="00191254" w:rsidRPr="00191254">
        <w:t>. Центром поселения является станица Новогригорьевская, находяще</w:t>
      </w:r>
      <w:r w:rsidR="00191254" w:rsidRPr="00191254">
        <w:t>е</w:t>
      </w:r>
      <w:r w:rsidR="00191254" w:rsidRPr="00191254">
        <w:t xml:space="preserve">ся в </w:t>
      </w:r>
      <w:smartTag w:uri="urn:schemas-microsoft-com:office:smarttags" w:element="metricconverter">
        <w:smartTagPr>
          <w:attr w:name="ProductID" w:val="40 километрах"/>
        </w:smartTagPr>
        <w:r w:rsidR="00191254" w:rsidRPr="00191254">
          <w:t>40 километрах</w:t>
        </w:r>
      </w:smartTag>
      <w:r w:rsidR="00191254" w:rsidRPr="00191254">
        <w:t xml:space="preserve"> от районного центра р. п. Иловля.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По климатическим условиям </w:t>
      </w:r>
      <w:r w:rsidR="00191254">
        <w:t>Новогригорьевское</w:t>
      </w:r>
      <w:r w:rsidRPr="00E96E61">
        <w:t xml:space="preserve"> сельское поселение расположено в ре</w:t>
      </w:r>
      <w:r w:rsidRPr="00E96E61">
        <w:t>з</w:t>
      </w:r>
      <w:r w:rsidRPr="00E96E61">
        <w:t>ко засушливой зоне.</w:t>
      </w:r>
    </w:p>
    <w:p w:rsidR="00B50B67" w:rsidRPr="00E96E61" w:rsidRDefault="00B50B67" w:rsidP="00AD4C00">
      <w:pPr>
        <w:ind w:firstLine="540"/>
        <w:jc w:val="both"/>
      </w:pPr>
      <w:proofErr w:type="gramStart"/>
      <w:r w:rsidRPr="00E96E61">
        <w:t xml:space="preserve">Территория  </w:t>
      </w:r>
      <w:r w:rsidR="00531C6B">
        <w:t>поселения</w:t>
      </w:r>
      <w:proofErr w:type="gramEnd"/>
      <w:r w:rsidR="00531C6B">
        <w:t xml:space="preserve"> </w:t>
      </w:r>
      <w:r w:rsidRPr="00E96E61">
        <w:t xml:space="preserve"> расположена на берегу реки Дон.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 Промышленности нет.</w:t>
      </w:r>
      <w:r w:rsidR="003E6123" w:rsidRPr="003E6123">
        <w:rPr>
          <w:sz w:val="28"/>
          <w:szCs w:val="28"/>
        </w:rPr>
        <w:t xml:space="preserve"> </w:t>
      </w:r>
      <w:r w:rsidR="003E6123" w:rsidRPr="003E6123">
        <w:t>Основной экономической специализацией поселения является сельское хозяйство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Дорога с асфальтобетонным </w:t>
      </w:r>
      <w:proofErr w:type="gramStart"/>
      <w:r w:rsidRPr="00E96E61">
        <w:t xml:space="preserve">покрытием </w:t>
      </w:r>
      <w:r w:rsidR="00191254">
        <w:t xml:space="preserve"> и</w:t>
      </w:r>
      <w:proofErr w:type="gramEnd"/>
      <w:r w:rsidR="00191254">
        <w:t xml:space="preserve"> паромная переправа </w:t>
      </w:r>
      <w:r w:rsidRPr="00E96E61">
        <w:t xml:space="preserve">связывает </w:t>
      </w:r>
      <w:r w:rsidR="00191254">
        <w:t>ст</w:t>
      </w:r>
      <w:r w:rsidRPr="00E96E61">
        <w:t xml:space="preserve">. </w:t>
      </w:r>
      <w:r w:rsidR="00191254">
        <w:t>Новогр</w:t>
      </w:r>
      <w:r w:rsidR="00191254">
        <w:t>и</w:t>
      </w:r>
      <w:r w:rsidR="00191254">
        <w:t>горьевскую</w:t>
      </w:r>
      <w:r w:rsidRPr="00E96E61">
        <w:t xml:space="preserve"> с </w:t>
      </w:r>
      <w:r w:rsidR="00B81C4A">
        <w:t xml:space="preserve"> </w:t>
      </w:r>
      <w:r w:rsidRPr="00E96E61">
        <w:t xml:space="preserve">г. Волгоградом. Протяжённость внутрипоселковых дорог </w:t>
      </w:r>
      <w:smartTag w:uri="urn:schemas-microsoft-com:office:smarttags" w:element="metricconverter">
        <w:smartTagPr>
          <w:attr w:name="ProductID" w:val="40 км"/>
        </w:smartTagPr>
        <w:r w:rsidRPr="00E96E61">
          <w:t>40 км</w:t>
        </w:r>
      </w:smartTag>
      <w:r w:rsidRPr="00E96E61">
        <w:t xml:space="preserve">, </w:t>
      </w:r>
      <w:r w:rsidR="00191254">
        <w:t>60</w:t>
      </w:r>
      <w:r w:rsidRPr="00E96E61">
        <w:t xml:space="preserve">% из </w:t>
      </w:r>
      <w:proofErr w:type="gramStart"/>
      <w:r w:rsidRPr="00E96E61">
        <w:t>них  с</w:t>
      </w:r>
      <w:proofErr w:type="gramEnd"/>
      <w:r w:rsidRPr="00E96E61">
        <w:t xml:space="preserve"> твёрдым покрытием.</w:t>
      </w:r>
    </w:p>
    <w:p w:rsidR="00B50B67" w:rsidRPr="00E96E61" w:rsidRDefault="00B50B67" w:rsidP="00AD4C00">
      <w:pPr>
        <w:ind w:firstLine="540"/>
        <w:jc w:val="both"/>
      </w:pPr>
      <w:r w:rsidRPr="00E96E61">
        <w:t>Канализационные сети отсу</w:t>
      </w:r>
      <w:r w:rsidR="00B81C4A">
        <w:t>т</w:t>
      </w:r>
      <w:r w:rsidRPr="00E96E61">
        <w:t xml:space="preserve">ствуют. </w:t>
      </w:r>
      <w:proofErr w:type="spellStart"/>
      <w:r w:rsidRPr="00E96E61">
        <w:t>Хозбытовые</w:t>
      </w:r>
      <w:proofErr w:type="spellEnd"/>
      <w:r w:rsidRPr="00E96E61">
        <w:t xml:space="preserve"> стоки частного сектора собираются в септики с последующим вывозом автотранспортом на свалку. </w:t>
      </w:r>
    </w:p>
    <w:p w:rsidR="00B50B67" w:rsidRPr="00E96E61" w:rsidRDefault="00B50B67" w:rsidP="00AD4C00">
      <w:pPr>
        <w:jc w:val="both"/>
      </w:pPr>
    </w:p>
    <w:p w:rsidR="00B50B67" w:rsidRPr="00531C6B" w:rsidRDefault="00B50B67" w:rsidP="00B50B67">
      <w:pPr>
        <w:rPr>
          <w:b/>
        </w:rPr>
      </w:pPr>
      <w:proofErr w:type="gramStart"/>
      <w:r w:rsidRPr="00531C6B">
        <w:rPr>
          <w:b/>
        </w:rPr>
        <w:t>2.1  Показатели</w:t>
      </w:r>
      <w:proofErr w:type="gramEnd"/>
      <w:r w:rsidRPr="00531C6B">
        <w:rPr>
          <w:b/>
        </w:rPr>
        <w:t xml:space="preserve"> сферы жилищно – коммунального хозяйства </w:t>
      </w:r>
      <w:r w:rsidR="001773C9">
        <w:rPr>
          <w:b/>
        </w:rPr>
        <w:t>Новогригорьевского</w:t>
      </w:r>
      <w:r w:rsidR="00531C6B">
        <w:rPr>
          <w:b/>
        </w:rPr>
        <w:t xml:space="preserve"> сел</w:t>
      </w:r>
      <w:r w:rsidR="00531C6B">
        <w:rPr>
          <w:b/>
        </w:rPr>
        <w:t>ь</w:t>
      </w:r>
      <w:r w:rsidR="00531C6B">
        <w:rPr>
          <w:b/>
        </w:rPr>
        <w:t>ского поселения.</w:t>
      </w:r>
    </w:p>
    <w:p w:rsidR="00B50B67" w:rsidRDefault="00531C6B" w:rsidP="00B50B67">
      <w:r>
        <w:t xml:space="preserve">                                                                                                                        </w:t>
      </w:r>
      <w:r w:rsidR="004F23C2">
        <w:t xml:space="preserve">                </w:t>
      </w:r>
      <w:r w:rsidR="00B50B67" w:rsidRPr="00E96E61">
        <w:t>таблица № 1</w:t>
      </w:r>
    </w:p>
    <w:p w:rsidR="00115685" w:rsidRPr="00E96E61" w:rsidRDefault="00115685" w:rsidP="00B50B67"/>
    <w:p w:rsidR="00115685" w:rsidRDefault="00B50B67" w:rsidP="00531C6B">
      <w:pPr>
        <w:jc w:val="center"/>
      </w:pPr>
      <w:r w:rsidRPr="00E96E61">
        <w:t xml:space="preserve">Параметры, характеризующие отрасль жилищно-коммунального хозяйства </w:t>
      </w:r>
    </w:p>
    <w:p w:rsidR="00B50B67" w:rsidRDefault="00191254" w:rsidP="00531C6B">
      <w:pPr>
        <w:jc w:val="center"/>
      </w:pPr>
      <w:r>
        <w:t>Новогригорьевского</w:t>
      </w:r>
      <w:r w:rsidR="00531C6B">
        <w:t xml:space="preserve"> сельского поселения</w:t>
      </w:r>
    </w:p>
    <w:p w:rsidR="00115685" w:rsidRPr="00E96E61" w:rsidRDefault="00115685" w:rsidP="00531C6B">
      <w:pPr>
        <w:jc w:val="center"/>
      </w:pPr>
    </w:p>
    <w:tbl>
      <w:tblPr>
        <w:tblW w:w="9806" w:type="dxa"/>
        <w:jc w:val="center"/>
        <w:tblLook w:val="0000" w:firstRow="0" w:lastRow="0" w:firstColumn="0" w:lastColumn="0" w:noHBand="0" w:noVBand="0"/>
      </w:tblPr>
      <w:tblGrid>
        <w:gridCol w:w="5193"/>
        <w:gridCol w:w="1293"/>
        <w:gridCol w:w="1725"/>
        <w:gridCol w:w="1725"/>
      </w:tblGrid>
      <w:tr w:rsidR="00B50B67" w:rsidRPr="00E96E61" w:rsidTr="00D65082">
        <w:trPr>
          <w:trHeight w:val="555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50B67" w:rsidRPr="00E96E61" w:rsidRDefault="00B50B67" w:rsidP="00B50B67">
            <w:r w:rsidRPr="00E96E61">
              <w:t>Показатель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B50B67" w:rsidP="00B50B67">
            <w:r w:rsidRPr="00E96E61">
              <w:t>Ед. измер.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BE218F" w:rsidP="00191254">
            <w:r>
              <w:t>2017</w:t>
            </w:r>
            <w:r w:rsidR="004F23C2">
              <w:t xml:space="preserve"> </w:t>
            </w:r>
            <w:r w:rsidR="00B50B67" w:rsidRPr="00E96E61">
              <w:t>год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E218F" w:rsidP="00B50B67">
            <w:r>
              <w:t>2018</w:t>
            </w:r>
            <w:r w:rsidR="00B50B67" w:rsidRPr="00E96E61">
              <w:t xml:space="preserve"> год </w:t>
            </w:r>
          </w:p>
          <w:p w:rsidR="00B50B67" w:rsidRPr="00E96E61" w:rsidRDefault="00B50B67" w:rsidP="00B50B67">
            <w:r w:rsidRPr="00E96E61">
              <w:t>(</w:t>
            </w:r>
            <w:proofErr w:type="gramStart"/>
            <w:r w:rsidRPr="00E96E61">
              <w:t xml:space="preserve">оценка)   </w:t>
            </w:r>
            <w:proofErr w:type="gramEnd"/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Общая площадь жилого фонда: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16,79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3E41B6" w:rsidRDefault="003E41B6" w:rsidP="00B50B67">
            <w:r w:rsidRPr="003E41B6">
              <w:t>16,8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                              В том числе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МКД (многоквартирные жилые дома)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191254" w:rsidP="00B50B67">
            <w:r>
              <w:t>0</w:t>
            </w:r>
            <w:r w:rsidR="00B50B67" w:rsidRPr="00E96E61">
              <w:t xml:space="preserve"> 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                              из них в управлении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                              ТСЖ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нет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                              УК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нет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1C6B" w:rsidRDefault="00B50B67" w:rsidP="00B50B67">
            <w:r w:rsidRPr="00E96E61">
              <w:t xml:space="preserve">                              непосредственное </w:t>
            </w:r>
          </w:p>
          <w:p w:rsidR="00B50B67" w:rsidRPr="00E96E61" w:rsidRDefault="00531C6B" w:rsidP="00B50B67">
            <w:r>
              <w:t xml:space="preserve">                                 </w:t>
            </w:r>
            <w:r w:rsidR="00B50B67" w:rsidRPr="00E96E61">
              <w:t>управление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191254" w:rsidP="00B50B67">
            <w:r>
              <w:t>нет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Жилые дома (индивидуальные здания)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16,79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3E41B6" w:rsidRDefault="003E41B6" w:rsidP="00B50B67">
            <w:r w:rsidRPr="003E41B6">
              <w:t>16,8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Жилой фонд пригодный для проживания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16,78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3E41B6" w:rsidRDefault="003E41B6" w:rsidP="00B50B67">
            <w:r w:rsidRPr="003E41B6">
              <w:t>16,78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Жилой фонд не пригодный для проживания: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нет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             в том </w:t>
            </w:r>
            <w:proofErr w:type="gramStart"/>
            <w:r w:rsidRPr="00E96E61">
              <w:t>числе  ветхий</w:t>
            </w:r>
            <w:proofErr w:type="gramEnd"/>
            <w:r w:rsidRPr="00E96E61">
              <w:t xml:space="preserve">  жилой фонд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нет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                                    аварийный жилой фонд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                                    фенольный жилой фонд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тыс.кв.м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нет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Средняя обеспеченность населения жильем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кв.м.на                   </w:t>
            </w:r>
            <w:r w:rsidRPr="00E96E61">
              <w:lastRenderedPageBreak/>
              <w:t>1 жителя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lastRenderedPageBreak/>
              <w:t>15.2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3E41B6" w:rsidRDefault="00B81C4A" w:rsidP="00B50B67">
            <w:r w:rsidRPr="003E41B6">
              <w:t>1</w:t>
            </w:r>
            <w:r w:rsidR="003E41B6" w:rsidRPr="003E41B6">
              <w:t>5</w:t>
            </w:r>
            <w:r w:rsidR="00B50B67" w:rsidRPr="003E41B6">
              <w:t>.</w:t>
            </w:r>
            <w:r w:rsidRPr="003E41B6">
              <w:t>2</w:t>
            </w:r>
            <w:r w:rsidR="003E41B6" w:rsidRPr="003E41B6">
              <w:t xml:space="preserve"> </w:t>
            </w:r>
          </w:p>
        </w:tc>
      </w:tr>
      <w:tr w:rsidR="00B50B67" w:rsidRPr="00E96E61" w:rsidTr="00D65082">
        <w:trPr>
          <w:trHeight w:val="339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>Количество ТСЖ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r w:rsidRPr="008021A5">
              <w:t>Количество установленных общедомовых приб</w:t>
            </w:r>
            <w:r w:rsidRPr="008021A5">
              <w:t>о</w:t>
            </w:r>
            <w:r w:rsidRPr="008021A5">
              <w:t>ров учета, всего: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proofErr w:type="spellStart"/>
            <w:r w:rsidRPr="008021A5">
              <w:t>шт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учета тепла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шт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r w:rsidRPr="008021A5">
              <w:t>учета газа</w:t>
            </w:r>
            <w:r w:rsidR="00863979" w:rsidRPr="008021A5"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proofErr w:type="spellStart"/>
            <w:r w:rsidRPr="008021A5">
              <w:t>шт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r w:rsidRPr="008021A5">
              <w:t>учета электроэнергии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proofErr w:type="spellStart"/>
            <w:r w:rsidRPr="008021A5">
              <w:t>шт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r w:rsidRPr="008021A5">
              <w:t>учета водоснабжения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B50B67" w:rsidP="00B50B67">
            <w:proofErr w:type="spellStart"/>
            <w:r w:rsidRPr="008021A5">
              <w:t>шт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8021A5" w:rsidRDefault="008021A5" w:rsidP="00B50B67">
            <w:r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Количество установленных внутриквартирных пр</w:t>
            </w:r>
            <w:r w:rsidRPr="00E96E61">
              <w:t>и</w:t>
            </w:r>
            <w:r w:rsidRPr="00E96E61">
              <w:t>боров учета холодной и горячей в</w:t>
            </w:r>
            <w:r w:rsidRPr="00E96E61">
              <w:t>о</w:t>
            </w:r>
            <w:r w:rsidRPr="00E96E61">
              <w:t>ды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шт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3E41B6" w:rsidRDefault="003E41B6" w:rsidP="00B50B67">
            <w:r w:rsidRPr="003E41B6"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Полная стоимость предоставляемых жили</w:t>
            </w:r>
            <w:r w:rsidRPr="00E96E61">
              <w:t>щ</w:t>
            </w:r>
            <w:r w:rsidRPr="00E96E61">
              <w:t>но-коммунальных услуг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млн.руб.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 w:rsidRPr="00E96E61">
              <w:t>Не</w:t>
            </w:r>
            <w:r>
              <w:t xml:space="preserve"> </w:t>
            </w:r>
            <w:r w:rsidRPr="00E96E61">
              <w:t>пр</w:t>
            </w:r>
            <w:r w:rsidRPr="00E96E61">
              <w:t>е</w:t>
            </w:r>
            <w:r w:rsidRPr="00E96E61">
              <w:t>дост</w:t>
            </w:r>
            <w:r>
              <w:t>а</w:t>
            </w:r>
            <w:r w:rsidRPr="00E96E61">
              <w:t>в</w:t>
            </w:r>
            <w:r w:rsidRPr="00E96E61">
              <w:t>ляется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531C6B" w:rsidP="00B50B67">
            <w:r w:rsidRPr="00E96E61">
              <w:t>Н</w:t>
            </w:r>
            <w:r w:rsidR="00B50B67" w:rsidRPr="00E96E61">
              <w:t>е</w:t>
            </w:r>
            <w:r>
              <w:t xml:space="preserve"> </w:t>
            </w:r>
            <w:r w:rsidR="00B50B67" w:rsidRPr="00E96E61">
              <w:t>предо</w:t>
            </w:r>
            <w:r w:rsidR="00B50B67" w:rsidRPr="00E96E61">
              <w:t>с</w:t>
            </w:r>
            <w:r w:rsidR="00B50B67" w:rsidRPr="00E96E61">
              <w:t>т</w:t>
            </w:r>
            <w:r>
              <w:t>а</w:t>
            </w:r>
            <w:r w:rsidR="00B50B67" w:rsidRPr="00E96E61">
              <w:t>вляется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Уровень собираемости платежей за ЖКУ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%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95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900843" w:rsidP="00B50B67">
            <w:r>
              <w:t>95</w:t>
            </w:r>
          </w:p>
        </w:tc>
      </w:tr>
      <w:tr w:rsidR="00B50B67" w:rsidRPr="00E96E61" w:rsidTr="00D65082">
        <w:trPr>
          <w:trHeight w:val="231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Количество </w:t>
            </w:r>
            <w:proofErr w:type="gramStart"/>
            <w:r w:rsidRPr="00E96E61">
              <w:t>семей</w:t>
            </w:r>
            <w:proofErr w:type="gramEnd"/>
            <w:r w:rsidRPr="00E96E61">
              <w:t xml:space="preserve"> состоящих на учете для улучш</w:t>
            </w:r>
            <w:r w:rsidRPr="00E96E61">
              <w:t>е</w:t>
            </w:r>
            <w:r w:rsidRPr="00E96E61">
              <w:t>ния жилищных условий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3</w:t>
            </w:r>
          </w:p>
        </w:tc>
      </w:tr>
      <w:tr w:rsidR="00B50B67" w:rsidRPr="00E96E61" w:rsidTr="00D65082">
        <w:trPr>
          <w:trHeight w:val="348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ВОДОСНАБЖЕНИЕ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3</w:t>
            </w:r>
          </w:p>
        </w:tc>
      </w:tr>
      <w:tr w:rsidR="00B50B67" w:rsidRPr="00E96E61" w:rsidTr="00D65082">
        <w:trPr>
          <w:trHeight w:val="335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Водопроводы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3E6123" w:rsidP="00B50B67">
            <w:r>
              <w:t>3</w:t>
            </w:r>
          </w:p>
        </w:tc>
      </w:tr>
      <w:tr w:rsidR="00B50B67" w:rsidRPr="00E96E61" w:rsidTr="00D65082">
        <w:trPr>
          <w:trHeight w:val="33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ВОС-1, 2 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E218F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нет</w:t>
            </w:r>
          </w:p>
        </w:tc>
      </w:tr>
      <w:tr w:rsidR="00B50B67" w:rsidRPr="00E96E61" w:rsidTr="00D65082">
        <w:trPr>
          <w:trHeight w:val="12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Протяженность   сетей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км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9D0F39" w:rsidP="00B50B67">
            <w:r>
              <w:t>16,985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3E41B6" w:rsidRDefault="003E41B6" w:rsidP="00B50B67">
            <w:r w:rsidRPr="003E41B6">
              <w:t>16,985</w:t>
            </w:r>
          </w:p>
        </w:tc>
      </w:tr>
      <w:tr w:rsidR="00B50B67" w:rsidRPr="00E96E61" w:rsidTr="00D65082">
        <w:trPr>
          <w:trHeight w:val="237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 xml:space="preserve">Мощность   водопроводов   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тыс. куб.м/сут.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9D0F39" w:rsidP="00B50B67">
            <w:r>
              <w:t xml:space="preserve"> 1</w:t>
            </w:r>
            <w:r w:rsidR="008021A5">
              <w:t>,</w:t>
            </w:r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9D0F39" w:rsidP="00B50B67">
            <w:r>
              <w:t>1</w:t>
            </w:r>
            <w:r w:rsidR="008021A5">
              <w:t>,</w:t>
            </w:r>
            <w:r>
              <w:t>0</w:t>
            </w:r>
          </w:p>
        </w:tc>
      </w:tr>
      <w:tr w:rsidR="00B50B67" w:rsidRPr="00E96E61" w:rsidTr="00D65082">
        <w:trPr>
          <w:trHeight w:val="259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>
            <w:r w:rsidRPr="00E96E61">
              <w:t>Подача воды в сети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44713" w:rsidRDefault="00CE2896" w:rsidP="00B50B67">
            <w:pPr>
              <w:rPr>
                <w:b/>
                <w:i/>
              </w:rPr>
            </w:pPr>
            <w:r>
              <w:t>тыс</w:t>
            </w:r>
            <w:r w:rsidRPr="00E96E61">
              <w:t>. куб. 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E2896" w:rsidRDefault="00CE2896" w:rsidP="00B50B67">
            <w:r w:rsidRPr="00CE2896">
              <w:t>56,65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E2896" w:rsidRDefault="00CE2896" w:rsidP="00B50B67">
            <w:r w:rsidRPr="00CE2896">
              <w:t>56,65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Пропущено воды через </w:t>
            </w:r>
            <w:proofErr w:type="gramStart"/>
            <w:r w:rsidRPr="00E96E61">
              <w:t>очистные  сооруж</w:t>
            </w:r>
            <w:r w:rsidRPr="00E96E61">
              <w:t>е</w:t>
            </w:r>
            <w:r w:rsidRPr="00E96E61">
              <w:t>ния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CE2896" w:rsidP="00B50B67">
            <w:r>
              <w:t>тыс</w:t>
            </w:r>
            <w:r w:rsidR="00B50B67" w:rsidRPr="00E96E61">
              <w:t>. куб. м.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9D0F39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9D0F39" w:rsidP="00B50B67">
            <w:r>
              <w:t>0</w:t>
            </w:r>
          </w:p>
        </w:tc>
      </w:tr>
      <w:tr w:rsidR="00B50B67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8021A5" w:rsidRDefault="00B50B67" w:rsidP="00B50B67">
            <w:r w:rsidRPr="008021A5">
              <w:t>Отпуск воды всем потребителям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44713" w:rsidRDefault="00CE2896" w:rsidP="00B50B67">
            <w:pPr>
              <w:rPr>
                <w:b/>
                <w:i/>
              </w:rPr>
            </w:pPr>
            <w:r>
              <w:t>тыс</w:t>
            </w:r>
            <w:r w:rsidRPr="00E96E61">
              <w:t>. куб. м.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E2896" w:rsidRDefault="00CE2896" w:rsidP="00B50B67">
            <w:r w:rsidRPr="00CE2896">
              <w:t>53,52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E2896" w:rsidRDefault="00CE2896" w:rsidP="00B50B67">
            <w:r w:rsidRPr="00CE2896">
              <w:t>53,52</w:t>
            </w:r>
          </w:p>
        </w:tc>
      </w:tr>
      <w:tr w:rsidR="00B50B67" w:rsidRPr="00E96E61" w:rsidTr="00D65082">
        <w:trPr>
          <w:trHeight w:val="285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в том </w:t>
            </w:r>
            <w:proofErr w:type="gramStart"/>
            <w:r w:rsidRPr="00E96E61">
              <w:t xml:space="preserve">числе </w:t>
            </w:r>
            <w:r w:rsidR="00CE2896">
              <w:t>: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E96E61" w:rsidRDefault="00B50B67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E2896" w:rsidRDefault="00B50B67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50B67" w:rsidRPr="00CE2896" w:rsidRDefault="00B50B67" w:rsidP="00B50B67"/>
        </w:tc>
      </w:tr>
      <w:tr w:rsidR="00CE2896" w:rsidRPr="00E96E61" w:rsidTr="00D65082">
        <w:trPr>
          <w:trHeight w:val="285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>
              <w:t xml:space="preserve">- </w:t>
            </w:r>
            <w:r w:rsidRPr="00E96E61">
              <w:t>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167006">
            <w:r>
              <w:t>тыс</w:t>
            </w:r>
            <w:r w:rsidRPr="00E96E61">
              <w:t>. куб.м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CE2896" w:rsidRDefault="00CE2896" w:rsidP="00167006">
            <w:r w:rsidRPr="00CE2896">
              <w:t>48,82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CE2896" w:rsidRDefault="00CE2896" w:rsidP="00167006">
            <w:r w:rsidRPr="00CE2896">
              <w:t>48,82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>
              <w:t>- бюджетным потребителям</w:t>
            </w:r>
            <w:r w:rsidRPr="00E96E61"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тыс</w:t>
            </w:r>
            <w:r w:rsidRPr="00E96E61">
              <w:t>. куб.м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CE2896" w:rsidRDefault="00CE2896" w:rsidP="00B50B67">
            <w:r w:rsidRPr="00CE2896">
              <w:t>0.5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CE2896" w:rsidRDefault="00CE2896" w:rsidP="00B50B67">
            <w:r w:rsidRPr="00CE2896">
              <w:t>0.5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Потребление воды (на 1 жителя</w:t>
            </w:r>
            <w:proofErr w:type="gramStart"/>
            <w:r w:rsidRPr="00E96E61">
              <w:t xml:space="preserve">):  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Фактическое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м3/год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8021A5" w:rsidRDefault="008021A5" w:rsidP="00B50B67">
            <w:r w:rsidRPr="008021A5">
              <w:t>59,0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8021A5" w:rsidRDefault="008021A5" w:rsidP="00B50B67">
            <w:r w:rsidRPr="008021A5">
              <w:t>59,0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Нормативное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м3/год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8021A5" w:rsidRDefault="008021A5" w:rsidP="00B50B67">
            <w:r>
              <w:t>50,0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8021A5" w:rsidRDefault="008021A5" w:rsidP="00B50B67">
            <w:r>
              <w:t>50,0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КАНАЛИЗАЦИЯ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Мощность </w:t>
            </w:r>
            <w:proofErr w:type="gramStart"/>
            <w:r w:rsidRPr="00E96E61">
              <w:t>канализационных  сооружений</w:t>
            </w:r>
            <w:proofErr w:type="gramEnd"/>
            <w:r w:rsidRPr="00E96E61"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8021A5" w:rsidP="00B50B67">
            <w:r>
              <w:t>тыс</w:t>
            </w:r>
            <w:r w:rsidR="00CE2896" w:rsidRPr="00E96E61">
              <w:t>.м3/ сут.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Протяженность канализационных сетей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км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Отведено сточных вод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млн. м3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в том числе </w:t>
            </w:r>
            <w:proofErr w:type="gramStart"/>
            <w:r w:rsidRPr="00E96E61">
              <w:t>пропущено  через</w:t>
            </w:r>
            <w:proofErr w:type="gramEnd"/>
            <w:r w:rsidRPr="00E96E61">
              <w:t xml:space="preserve"> очистные  сооруж</w:t>
            </w:r>
            <w:r w:rsidRPr="00E96E61">
              <w:t>е</w:t>
            </w:r>
            <w:r w:rsidRPr="00E96E61">
              <w:t xml:space="preserve">ния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млн. м3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ТЕПЛОСНАБЖЕНИЕ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Протяженность сетей в 2-х трубном исчисл</w:t>
            </w:r>
            <w:r w:rsidRPr="00E96E61">
              <w:t>е</w:t>
            </w:r>
            <w:r w:rsidRPr="00E96E61">
              <w:t>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км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Число котельных - всего (муниципальных)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в том числе на: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жидком топливе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газе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proofErr w:type="gramStart"/>
            <w:r w:rsidRPr="00E96E61">
              <w:t>Мощность  котельных</w:t>
            </w:r>
            <w:proofErr w:type="gramEnd"/>
            <w:r w:rsidRPr="00E96E61">
              <w:t xml:space="preserve"> на:   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жидком топливе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Гкал/час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газе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Гкал/час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Выработано тепла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тыс. Гкал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Реализовано тепла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тыс. Гкал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lastRenderedPageBreak/>
              <w:t>в т.ч. 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тыс. Гкал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на хозбытнужды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Гкал/кв. 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обеспеченность (на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96E61">
                <w:t>1 кв. м</w:t>
              </w:r>
            </w:smartTag>
            <w:r w:rsidRPr="00E96E61">
              <w:t xml:space="preserve"> в </w:t>
            </w:r>
            <w:proofErr w:type="gramStart"/>
            <w:r w:rsidRPr="00E96E61">
              <w:t xml:space="preserve">месяц)   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 xml:space="preserve">Гкал/кв. м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нет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нет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ГАЗИФИКАЦИЯ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км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16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16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Протяженность уличной газовой сети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</w:t>
            </w:r>
            <w:r>
              <w:t xml:space="preserve"> </w:t>
            </w:r>
            <w:r w:rsidRPr="00E96E61">
              <w:t>пр</w:t>
            </w:r>
            <w:r w:rsidRPr="00E96E61">
              <w:t>е</w:t>
            </w:r>
            <w:r w:rsidRPr="00E96E61">
              <w:t>дост</w:t>
            </w:r>
            <w:r>
              <w:t>а</w:t>
            </w:r>
            <w:r w:rsidRPr="00E96E61">
              <w:t>в</w:t>
            </w:r>
            <w:r w:rsidRPr="00E96E61">
              <w:t>ляется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</w:t>
            </w:r>
            <w:r>
              <w:t xml:space="preserve"> </w:t>
            </w:r>
            <w:r w:rsidRPr="00E96E61">
              <w:t>предо</w:t>
            </w:r>
            <w:r w:rsidRPr="00E96E61">
              <w:t>с</w:t>
            </w:r>
            <w:r w:rsidRPr="00E96E61">
              <w:t>т</w:t>
            </w:r>
            <w:r>
              <w:t>а</w:t>
            </w:r>
            <w:r w:rsidRPr="00E96E61">
              <w:t>вляется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Общее число газифицированных квартир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340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340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сетевым газом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340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340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сжиженным газом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единиц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Отпущено сетевого газа всем потребителям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тыс. м³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4000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4200</w:t>
            </w:r>
          </w:p>
        </w:tc>
      </w:tr>
      <w:tr w:rsidR="00CE2896" w:rsidRPr="00E96E61" w:rsidTr="00D65082">
        <w:trPr>
          <w:trHeight w:val="333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в т.ч. 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тыс. м³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4000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4200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proofErr w:type="gramStart"/>
            <w:r w:rsidRPr="00E96E61">
              <w:t>Отпущено  сжиженного</w:t>
            </w:r>
            <w:proofErr w:type="gramEnd"/>
            <w:r w:rsidRPr="00E96E61">
              <w:t xml:space="preserve"> газа всем потребит</w:t>
            </w:r>
            <w:r w:rsidRPr="00E96E61">
              <w:t>е</w:t>
            </w:r>
            <w:r w:rsidRPr="00E96E61">
              <w:t xml:space="preserve">лям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тонн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в т.ч. 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тонн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ЭЛЕКТРОСНАБЖЕНИЕ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/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Протяженность линий электропередач, всего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км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20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20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Отпуск электроэнергии потребителям, всего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млн. кВт час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</w:t>
            </w:r>
            <w:r>
              <w:t xml:space="preserve"> </w:t>
            </w:r>
            <w:r w:rsidRPr="00E96E61">
              <w:t>пр</w:t>
            </w:r>
            <w:r w:rsidRPr="00E96E61">
              <w:t>е</w:t>
            </w:r>
            <w:r w:rsidRPr="00E96E61">
              <w:t>дост</w:t>
            </w:r>
            <w:r>
              <w:t>а</w:t>
            </w:r>
            <w:r w:rsidRPr="00E96E61">
              <w:t>в</w:t>
            </w:r>
            <w:r w:rsidRPr="00E96E61">
              <w:t>ляется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</w:t>
            </w:r>
            <w:r>
              <w:t xml:space="preserve"> </w:t>
            </w:r>
            <w:r w:rsidRPr="00E96E61">
              <w:t>предо</w:t>
            </w:r>
            <w:r w:rsidRPr="00E96E61">
              <w:t>с</w:t>
            </w:r>
            <w:r w:rsidRPr="00E96E61">
              <w:t>т</w:t>
            </w:r>
            <w:r>
              <w:t>а</w:t>
            </w:r>
            <w:r w:rsidRPr="00E96E61">
              <w:t>вляется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 xml:space="preserve">В том числе населению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млн. кВт час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</w:t>
            </w:r>
            <w:r>
              <w:t xml:space="preserve"> </w:t>
            </w:r>
            <w:r w:rsidRPr="00E96E61">
              <w:t>пр</w:t>
            </w:r>
            <w:r w:rsidRPr="00E96E61">
              <w:t>е</w:t>
            </w:r>
            <w:r w:rsidRPr="00E96E61">
              <w:t>дост</w:t>
            </w:r>
            <w:r>
              <w:t>а</w:t>
            </w:r>
            <w:r w:rsidRPr="00E96E61">
              <w:t>в</w:t>
            </w:r>
            <w:r w:rsidRPr="00E96E61">
              <w:t>ляется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Не</w:t>
            </w:r>
            <w:r>
              <w:t xml:space="preserve"> </w:t>
            </w:r>
            <w:r w:rsidRPr="00E96E61">
              <w:t>предо</w:t>
            </w:r>
            <w:r w:rsidRPr="00E96E61">
              <w:t>с</w:t>
            </w:r>
            <w:r w:rsidRPr="00E96E61">
              <w:t>т</w:t>
            </w:r>
            <w:r>
              <w:t>а</w:t>
            </w:r>
            <w:r w:rsidRPr="00E96E61">
              <w:t>вляется</w:t>
            </w:r>
          </w:p>
        </w:tc>
      </w:tr>
      <w:tr w:rsidR="00CE2896" w:rsidRPr="00E96E61" w:rsidTr="00D65082">
        <w:trPr>
          <w:trHeight w:val="270"/>
          <w:jc w:val="center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96" w:rsidRPr="00E96E61" w:rsidRDefault="00CE2896" w:rsidP="00B50B67">
            <w:r w:rsidRPr="00E96E61">
              <w:t>Доля объема отпуска коммунальных ресурсов, счета за которые выставлены по показаниям приборов уч</w:t>
            </w:r>
            <w:r w:rsidRPr="00E96E61">
              <w:t>е</w:t>
            </w:r>
            <w:r w:rsidRPr="00E96E61">
              <w:t>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 w:rsidRPr="00E96E61">
              <w:t>%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E2896" w:rsidRPr="00E96E61" w:rsidRDefault="00CE2896" w:rsidP="00B50B67">
            <w:r>
              <w:t>100</w:t>
            </w:r>
          </w:p>
        </w:tc>
      </w:tr>
    </w:tbl>
    <w:p w:rsidR="00B50B67" w:rsidRPr="00E96E61" w:rsidRDefault="00B50B67" w:rsidP="00B50B67"/>
    <w:p w:rsidR="00CE2896" w:rsidRDefault="00CE2896" w:rsidP="00B50B67">
      <w:pPr>
        <w:rPr>
          <w:b/>
        </w:rPr>
      </w:pPr>
    </w:p>
    <w:p w:rsidR="00B50B67" w:rsidRPr="00863979" w:rsidRDefault="00B50B67" w:rsidP="00B50B67">
      <w:pPr>
        <w:rPr>
          <w:b/>
        </w:rPr>
      </w:pPr>
      <w:r w:rsidRPr="00C52CD0">
        <w:rPr>
          <w:b/>
        </w:rPr>
        <w:t>2.2 Демографическая ситуация. Прогноз динамики численности населения</w:t>
      </w:r>
      <w:r w:rsidR="00C52CD0">
        <w:rPr>
          <w:b/>
        </w:rPr>
        <w:t>.</w:t>
      </w:r>
    </w:p>
    <w:p w:rsidR="00B50B67" w:rsidRPr="00E96E61" w:rsidRDefault="00B50B67" w:rsidP="00AD4C00">
      <w:pPr>
        <w:ind w:firstLine="540"/>
        <w:jc w:val="both"/>
      </w:pPr>
      <w:r w:rsidRPr="00E96E61">
        <w:t>Характер демографической ситуации. Тенденции естественного и миграционного дв</w:t>
      </w:r>
      <w:r w:rsidRPr="00E96E61">
        <w:t>и</w:t>
      </w:r>
      <w:r w:rsidRPr="00E96E61">
        <w:t>жения населения. Прогнозируемый рост или снижение численности населения, уровень смертн</w:t>
      </w:r>
      <w:r w:rsidR="003E6123">
        <w:t>о</w:t>
      </w:r>
      <w:r w:rsidR="003E6123">
        <w:t>сти и рождаемости населения в Новогригорьевском</w:t>
      </w:r>
      <w:r w:rsidRPr="00E96E61">
        <w:t xml:space="preserve"> сельском поселении.</w:t>
      </w:r>
    </w:p>
    <w:p w:rsidR="00B50B67" w:rsidRPr="00E96E61" w:rsidRDefault="00B50B67" w:rsidP="00B50B67"/>
    <w:p w:rsidR="00B50B67" w:rsidRDefault="00C52CD0" w:rsidP="00B50B67">
      <w:r>
        <w:t xml:space="preserve">                                                                                                                                       </w:t>
      </w:r>
      <w:r w:rsidR="00B50B67" w:rsidRPr="00E96E61">
        <w:t>Таблица №2</w:t>
      </w:r>
    </w:p>
    <w:p w:rsidR="00AD4C00" w:rsidRPr="00E96E61" w:rsidRDefault="00AD4C00" w:rsidP="00B50B67"/>
    <w:p w:rsidR="00D65082" w:rsidRDefault="00B50B67" w:rsidP="00C52CD0">
      <w:pPr>
        <w:jc w:val="center"/>
      </w:pPr>
      <w:r w:rsidRPr="00E96E61">
        <w:t xml:space="preserve">Основные показатели, характеризующие демографическую ситуацию </w:t>
      </w:r>
    </w:p>
    <w:p w:rsidR="00B50B67" w:rsidRDefault="00B50B67" w:rsidP="00C52CD0">
      <w:pPr>
        <w:jc w:val="center"/>
      </w:pPr>
      <w:r w:rsidRPr="00E96E61">
        <w:t xml:space="preserve">в </w:t>
      </w:r>
      <w:r w:rsidR="00D65082">
        <w:t>Новогригорьевском</w:t>
      </w:r>
      <w:r w:rsidR="00C52CD0">
        <w:t xml:space="preserve"> сел</w:t>
      </w:r>
      <w:r w:rsidR="00C52CD0">
        <w:t>ь</w:t>
      </w:r>
      <w:r w:rsidR="00C52CD0">
        <w:t>ском поселение</w:t>
      </w:r>
    </w:p>
    <w:p w:rsidR="00D65082" w:rsidRPr="00E96E61" w:rsidRDefault="00D65082" w:rsidP="00C52CD0">
      <w:pPr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5"/>
        <w:gridCol w:w="946"/>
        <w:gridCol w:w="946"/>
        <w:gridCol w:w="946"/>
        <w:gridCol w:w="947"/>
        <w:gridCol w:w="946"/>
        <w:gridCol w:w="946"/>
        <w:gridCol w:w="949"/>
      </w:tblGrid>
      <w:tr w:rsidR="00B50B67" w:rsidRPr="00E96E61" w:rsidTr="001773C9">
        <w:trPr>
          <w:jc w:val="center"/>
        </w:trPr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>Показатели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3E6123" w:rsidP="00B50B67">
            <w:r>
              <w:t>201</w:t>
            </w:r>
            <w:r w:rsidR="00FD679A">
              <w:t>5</w:t>
            </w:r>
            <w:r w:rsidR="00B50B67" w:rsidRPr="00E96E61">
              <w:t>г. отчет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3E6123" w:rsidP="00B50B67">
            <w:r>
              <w:t>201</w:t>
            </w:r>
            <w:r w:rsidR="00FD679A">
              <w:t>6</w:t>
            </w:r>
            <w:r w:rsidR="00B50B67" w:rsidRPr="00E96E61">
              <w:t>г.</w:t>
            </w:r>
          </w:p>
          <w:p w:rsidR="00B50B67" w:rsidRPr="00E96E61" w:rsidRDefault="00B50B67" w:rsidP="00B50B67">
            <w:r w:rsidRPr="00E96E61">
              <w:t>отчет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3E6123" w:rsidP="00B50B67">
            <w:r>
              <w:t>201</w:t>
            </w:r>
            <w:r w:rsidR="00FD679A">
              <w:t>7</w:t>
            </w:r>
            <w:r w:rsidR="00B50B67" w:rsidRPr="00E96E61">
              <w:t>г.</w:t>
            </w:r>
          </w:p>
          <w:p w:rsidR="00B50B67" w:rsidRPr="00E96E61" w:rsidRDefault="00B50B67" w:rsidP="00B50B67">
            <w:r w:rsidRPr="00E96E61">
              <w:t>отчет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3E6123" w:rsidP="00B50B67">
            <w:r>
              <w:t>201</w:t>
            </w:r>
            <w:r w:rsidR="00FD679A">
              <w:t>8</w:t>
            </w:r>
            <w:r w:rsidR="00B50B67" w:rsidRPr="00E96E61">
              <w:t>г.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3E6123" w:rsidP="00B50B67">
            <w:r>
              <w:t>201</w:t>
            </w:r>
            <w:r w:rsidR="00FD679A">
              <w:t>9</w:t>
            </w:r>
            <w:r w:rsidR="00B50B67" w:rsidRPr="00E96E61">
              <w:t>г.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3E6123" w:rsidP="00B50B67">
            <w:r>
              <w:t>20</w:t>
            </w:r>
            <w:r w:rsidR="00FD679A">
              <w:t>20</w:t>
            </w:r>
            <w:r w:rsidR="00B50B67" w:rsidRPr="00E96E61">
              <w:t>г.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3E6123" w:rsidP="003E6123">
            <w:r>
              <w:t>202</w:t>
            </w:r>
            <w:r w:rsidR="00FD679A">
              <w:t>1</w:t>
            </w:r>
            <w:r w:rsidR="00B50B67" w:rsidRPr="00E96E61">
              <w:t>г.</w:t>
            </w:r>
          </w:p>
        </w:tc>
      </w:tr>
      <w:tr w:rsidR="00B50B67" w:rsidRPr="00E96E61" w:rsidTr="001773C9">
        <w:trPr>
          <w:jc w:val="center"/>
        </w:trPr>
        <w:tc>
          <w:tcPr>
            <w:tcW w:w="2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B50B67" w:rsidP="00B50B67"/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B50B67" w:rsidP="00B50B67"/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B50B67" w:rsidP="00B50B67"/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B50B67" w:rsidP="00B50B67"/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0B67" w:rsidRPr="00E96E61" w:rsidRDefault="00B50B67" w:rsidP="00B50B67">
            <w:r w:rsidRPr="00E96E61">
              <w:t>отчет</w:t>
            </w:r>
          </w:p>
        </w:tc>
        <w:tc>
          <w:tcPr>
            <w:tcW w:w="284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 xml:space="preserve">                Прогноз</w:t>
            </w:r>
          </w:p>
        </w:tc>
      </w:tr>
      <w:tr w:rsidR="00B50B67" w:rsidRPr="00E96E61" w:rsidTr="001773C9">
        <w:trPr>
          <w:jc w:val="center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A42040" w:rsidRDefault="00B50B67" w:rsidP="00B50B67">
            <w:r w:rsidRPr="00A42040">
              <w:t>Численность населения (среднегодовая), тыс. ч</w:t>
            </w:r>
            <w:r w:rsidRPr="00A42040">
              <w:t>е</w:t>
            </w:r>
            <w:r w:rsidRPr="00A42040">
              <w:t>ловек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7F1B88" w:rsidP="00B57728">
            <w:pPr>
              <w:jc w:val="center"/>
            </w:pPr>
            <w:r w:rsidRPr="00A42040">
              <w:t>1.</w:t>
            </w:r>
            <w:r w:rsidR="00115685" w:rsidRPr="00A42040">
              <w:t>018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7F1B88" w:rsidP="00B57728">
            <w:pPr>
              <w:jc w:val="center"/>
            </w:pPr>
            <w:r w:rsidRPr="00A42040">
              <w:t>1.</w:t>
            </w:r>
            <w:r w:rsidR="00115685" w:rsidRPr="00A42040">
              <w:t>025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7F1B88" w:rsidP="00B57728">
            <w:pPr>
              <w:jc w:val="center"/>
            </w:pPr>
            <w:r w:rsidRPr="00A42040">
              <w:t>1.</w:t>
            </w:r>
            <w:r w:rsidR="00115685" w:rsidRPr="00A42040">
              <w:t>034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7F1B88" w:rsidP="00B57728">
            <w:pPr>
              <w:jc w:val="center"/>
            </w:pPr>
            <w:r w:rsidRPr="00A42040">
              <w:t>1.</w:t>
            </w:r>
            <w:r w:rsidR="00115685" w:rsidRPr="00A42040">
              <w:t>1</w:t>
            </w:r>
            <w:r w:rsidR="006D58F2"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7F1B88" w:rsidP="00B57728">
            <w:pPr>
              <w:jc w:val="center"/>
            </w:pPr>
            <w:r w:rsidRPr="00A42040">
              <w:t>1.</w:t>
            </w:r>
            <w:r w:rsidR="00A42040" w:rsidRPr="00A42040">
              <w:t>1</w:t>
            </w:r>
            <w:r w:rsidR="006D58F2"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7F1B88" w:rsidP="00B57728">
            <w:pPr>
              <w:jc w:val="center"/>
            </w:pPr>
            <w:r w:rsidRPr="00A42040">
              <w:t>1.</w:t>
            </w:r>
            <w:r w:rsidR="00A42040" w:rsidRPr="00A42040">
              <w:t>1</w:t>
            </w:r>
            <w:r w:rsidR="006D58F2"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7F1B88" w:rsidP="00B57728">
            <w:pPr>
              <w:jc w:val="center"/>
            </w:pPr>
            <w:r w:rsidRPr="00A42040">
              <w:t>1.</w:t>
            </w:r>
            <w:r w:rsidR="00A42040" w:rsidRPr="00A42040">
              <w:t>1</w:t>
            </w:r>
            <w:r w:rsidR="006D58F2">
              <w:t>4</w:t>
            </w:r>
          </w:p>
        </w:tc>
      </w:tr>
      <w:tr w:rsidR="00B50B67" w:rsidRPr="00E96E61" w:rsidTr="00A42040">
        <w:trPr>
          <w:jc w:val="center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A42040" w:rsidRDefault="00B50B67" w:rsidP="00B50B67">
            <w:r w:rsidRPr="00A42040">
              <w:t>Естественный прирост населения, тыс. человек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B50B67" w:rsidP="00B57728">
            <w:pPr>
              <w:jc w:val="center"/>
            </w:pPr>
            <w:r w:rsidRPr="00A42040">
              <w:t>0.03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B50B67" w:rsidP="00B57728">
            <w:pPr>
              <w:jc w:val="center"/>
            </w:pPr>
            <w:r w:rsidRPr="00A42040">
              <w:t>0.0</w:t>
            </w:r>
            <w:r w:rsidR="00A42040" w:rsidRPr="00A42040">
              <w:t>07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B50B67" w:rsidP="00B57728">
            <w:pPr>
              <w:jc w:val="center"/>
            </w:pPr>
            <w:r w:rsidRPr="00A42040">
              <w:t>0.0</w:t>
            </w:r>
            <w:r w:rsidR="00A42040" w:rsidRPr="00A42040">
              <w:t>09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B50B67" w:rsidP="00B57728">
            <w:pPr>
              <w:jc w:val="center"/>
            </w:pPr>
            <w:r w:rsidRPr="00A42040">
              <w:t>0.0</w:t>
            </w:r>
            <w:r w:rsidR="006D58F2">
              <w:t>8</w:t>
            </w:r>
            <w:r w:rsidR="00A42040" w:rsidRPr="00A42040"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A42040" w:rsidP="00B57728">
            <w:pPr>
              <w:jc w:val="center"/>
            </w:pPr>
            <w:r w:rsidRPr="00A42040"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A42040" w:rsidP="00B57728">
            <w:pPr>
              <w:jc w:val="center"/>
            </w:pPr>
            <w:r w:rsidRPr="00A42040">
              <w:t>0</w:t>
            </w:r>
            <w:r w:rsidR="006D58F2">
              <w:t>,01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A42040" w:rsidRDefault="00A42040" w:rsidP="00B57728">
            <w:pPr>
              <w:jc w:val="center"/>
            </w:pPr>
            <w:r w:rsidRPr="00A42040">
              <w:t>0</w:t>
            </w:r>
            <w:r w:rsidR="006D58F2">
              <w:t>,01</w:t>
            </w:r>
          </w:p>
        </w:tc>
      </w:tr>
      <w:tr w:rsidR="00B50B67" w:rsidRPr="00E96E61" w:rsidTr="001773C9">
        <w:trPr>
          <w:jc w:val="center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B67" w:rsidRPr="00E96E61" w:rsidRDefault="00B50B67" w:rsidP="00B50B67">
            <w:r w:rsidRPr="00E96E61">
              <w:t>Миграционный прирост населения, тыс. человек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FD679A" w:rsidP="00B57728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FD679A" w:rsidP="00B57728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FD679A" w:rsidP="00B57728">
            <w:pPr>
              <w:jc w:val="center"/>
            </w:pPr>
            <w: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FD679A" w:rsidP="00B57728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FD679A" w:rsidP="00B57728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FD679A" w:rsidP="00B57728">
            <w:pPr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B67" w:rsidRPr="00E96E61" w:rsidRDefault="00FD679A" w:rsidP="00B57728">
            <w:pPr>
              <w:jc w:val="center"/>
            </w:pPr>
            <w:r>
              <w:t>0</w:t>
            </w:r>
          </w:p>
        </w:tc>
      </w:tr>
    </w:tbl>
    <w:p w:rsidR="00B50B67" w:rsidRPr="00E96E61" w:rsidRDefault="00C52CD0" w:rsidP="00B50B67">
      <w:r>
        <w:t xml:space="preserve">                                                                                                         </w:t>
      </w:r>
      <w:r w:rsidR="00D107C4">
        <w:t xml:space="preserve">             </w:t>
      </w:r>
      <w:r w:rsidR="00FD679A">
        <w:t xml:space="preserve">                                                                                                                             </w:t>
      </w:r>
      <w:r>
        <w:t xml:space="preserve">       </w:t>
      </w:r>
    </w:p>
    <w:p w:rsidR="00B50B67" w:rsidRPr="00863979" w:rsidRDefault="00B50B67" w:rsidP="00B50B67">
      <w:pPr>
        <w:rPr>
          <w:b/>
        </w:rPr>
      </w:pPr>
      <w:r w:rsidRPr="00C52CD0">
        <w:rPr>
          <w:b/>
        </w:rPr>
        <w:t>2.3 Территориальное планирование.</w:t>
      </w:r>
    </w:p>
    <w:p w:rsidR="00B50B67" w:rsidRPr="00E96E61" w:rsidRDefault="00B50B67" w:rsidP="00C52CD0">
      <w:pPr>
        <w:ind w:firstLine="540"/>
      </w:pPr>
      <w:r w:rsidRPr="00E96E61">
        <w:t xml:space="preserve">В настоящее время   нормативно-правовые акты по градостроительной деятельности на </w:t>
      </w:r>
      <w:proofErr w:type="gramStart"/>
      <w:r w:rsidRPr="00E96E61">
        <w:t xml:space="preserve">территории  </w:t>
      </w:r>
      <w:r w:rsidR="003E6123">
        <w:t>Новогригорьевского</w:t>
      </w:r>
      <w:proofErr w:type="gramEnd"/>
      <w:r w:rsidRPr="00E96E61">
        <w:t xml:space="preserve"> сельского поселения находится в стадии разработки.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Генеральный план </w:t>
      </w:r>
      <w:r w:rsidR="003E6123">
        <w:t>Новогригорьевского</w:t>
      </w:r>
      <w:r w:rsidRPr="00E96E61">
        <w:t xml:space="preserve"> сельского поселения </w:t>
      </w:r>
      <w:proofErr w:type="gramStart"/>
      <w:r w:rsidR="007F1B88" w:rsidRPr="007C1E5E">
        <w:t>изготовлен</w:t>
      </w:r>
      <w:r w:rsidRPr="007C1E5E">
        <w:t xml:space="preserve">  </w:t>
      </w:r>
      <w:r w:rsidR="00B57728" w:rsidRPr="007C1E5E">
        <w:t>и</w:t>
      </w:r>
      <w:proofErr w:type="gramEnd"/>
      <w:r w:rsidR="00B57728" w:rsidRPr="007C1E5E">
        <w:t xml:space="preserve"> утвержден</w:t>
      </w:r>
      <w:r w:rsidRPr="007C1E5E">
        <w:t xml:space="preserve">  </w:t>
      </w:r>
      <w:r w:rsidR="00B57728" w:rsidRPr="007C1E5E">
        <w:t>Решением Иловлинской районной думы</w:t>
      </w:r>
      <w:r w:rsidR="006D58F2">
        <w:t xml:space="preserve">  от 15.12.2017 года № 49/292 </w:t>
      </w:r>
      <w:r w:rsidR="00B57728" w:rsidRPr="007C1E5E">
        <w:t>«Об утверждении ген</w:t>
      </w:r>
      <w:r w:rsidR="00B57728" w:rsidRPr="007C1E5E">
        <w:t>е</w:t>
      </w:r>
      <w:r w:rsidR="00B57728" w:rsidRPr="007C1E5E">
        <w:t>рального плана и установки границ населенного пункта Новогригорьевского сельского пос</w:t>
      </w:r>
      <w:r w:rsidR="00B57728" w:rsidRPr="007C1E5E">
        <w:t>е</w:t>
      </w:r>
      <w:r w:rsidR="00B57728" w:rsidRPr="007C1E5E">
        <w:t>ления Иловлинского ра</w:t>
      </w:r>
      <w:r w:rsidR="00B57728" w:rsidRPr="007C1E5E">
        <w:t>й</w:t>
      </w:r>
      <w:r w:rsidR="00B57728" w:rsidRPr="007C1E5E">
        <w:t>она Волгоградской области».</w:t>
      </w:r>
      <w:r w:rsidRPr="00E96E61">
        <w:t xml:space="preserve"> </w:t>
      </w:r>
    </w:p>
    <w:p w:rsidR="007F1B88" w:rsidRDefault="00B50B67" w:rsidP="00AD4C00">
      <w:pPr>
        <w:ind w:firstLine="540"/>
        <w:jc w:val="both"/>
      </w:pPr>
      <w:r w:rsidRPr="00E96E61">
        <w:t xml:space="preserve">Правила землепользования и </w:t>
      </w:r>
      <w:proofErr w:type="gramStart"/>
      <w:r w:rsidRPr="00E96E61">
        <w:t xml:space="preserve">застройки  </w:t>
      </w:r>
      <w:r w:rsidR="003E6123">
        <w:t>Новогригорьевского</w:t>
      </w:r>
      <w:proofErr w:type="gramEnd"/>
      <w:r w:rsidR="007F1B88" w:rsidRPr="00E96E61">
        <w:t xml:space="preserve"> </w:t>
      </w:r>
      <w:r w:rsidRPr="00E96E61">
        <w:t xml:space="preserve"> сельского поселения </w:t>
      </w:r>
      <w:r w:rsidR="007F1B88">
        <w:t>ра</w:t>
      </w:r>
      <w:r w:rsidR="007F1B88">
        <w:t>з</w:t>
      </w:r>
      <w:r w:rsidR="007F1B88">
        <w:t>работаны.</w:t>
      </w:r>
    </w:p>
    <w:p w:rsidR="00B50B67" w:rsidRPr="00E96E61" w:rsidRDefault="00B50B67" w:rsidP="00AD4C00">
      <w:pPr>
        <w:ind w:firstLine="540"/>
        <w:jc w:val="both"/>
      </w:pPr>
      <w:r w:rsidRPr="00E96E61">
        <w:lastRenderedPageBreak/>
        <w:t xml:space="preserve">Основными задачами генерального плана </w:t>
      </w:r>
      <w:r w:rsidR="003E6123">
        <w:t>Новогригорьевского</w:t>
      </w:r>
      <w:r w:rsidR="007932A0">
        <w:t xml:space="preserve"> сельского поселения</w:t>
      </w:r>
      <w:r w:rsidRPr="00E96E61">
        <w:t xml:space="preserve"> я</w:t>
      </w:r>
      <w:r w:rsidRPr="00E96E61">
        <w:t>в</w:t>
      </w:r>
      <w:r w:rsidRPr="00E96E61">
        <w:t>ляются:</w:t>
      </w:r>
    </w:p>
    <w:p w:rsidR="00B50B67" w:rsidRPr="00E96E61" w:rsidRDefault="00B50B67" w:rsidP="00AD4C00">
      <w:pPr>
        <w:ind w:firstLine="540"/>
        <w:jc w:val="both"/>
      </w:pPr>
      <w:r w:rsidRPr="00E96E61">
        <w:t>1) выявление проблем градостроительного развития территории, обеспечение их реш</w:t>
      </w:r>
      <w:r w:rsidRPr="00E96E61">
        <w:t>е</w:t>
      </w:r>
      <w:r w:rsidRPr="00E96E61">
        <w:t>ния на основе анализа параметров сложившейся среды, существующих ресурсов жизнеобе</w:t>
      </w:r>
      <w:r w:rsidRPr="00E96E61">
        <w:t>с</w:t>
      </w:r>
      <w:r w:rsidRPr="00E96E61">
        <w:t>печ</w:t>
      </w:r>
      <w:r w:rsidRPr="00E96E61">
        <w:t>е</w:t>
      </w:r>
      <w:r w:rsidRPr="00E96E61">
        <w:t>ния, а также принятых градостроительных решений;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2) определение основных направлений и параметров пространственного развития </w:t>
      </w:r>
      <w:r w:rsidR="00F864D1">
        <w:t>пос</w:t>
      </w:r>
      <w:r w:rsidR="00F864D1">
        <w:t>е</w:t>
      </w:r>
      <w:r w:rsidR="00F864D1">
        <w:t>ления</w:t>
      </w:r>
      <w:r w:rsidRPr="00E96E61">
        <w:t>, обеспечивающих создание инструмента управления развитием территории на основе б</w:t>
      </w:r>
      <w:r w:rsidRPr="00E96E61">
        <w:t>а</w:t>
      </w:r>
      <w:r w:rsidRPr="00E96E61">
        <w:t>ланса интересов федеральных, региональных и местных органов власти;</w:t>
      </w:r>
    </w:p>
    <w:p w:rsidR="00B50B67" w:rsidRPr="00E96E61" w:rsidRDefault="00B50B67" w:rsidP="00AD4C00">
      <w:pPr>
        <w:ind w:firstLine="540"/>
        <w:jc w:val="both"/>
      </w:pPr>
      <w:r w:rsidRPr="00E96E61">
        <w:t>3) создание электронного генерального плана на основе новейших компьютерных те</w:t>
      </w:r>
      <w:r w:rsidRPr="00E96E61">
        <w:t>х</w:t>
      </w:r>
      <w:r w:rsidRPr="00E96E61">
        <w:t>нологий и программного обеспечения, а также требований к формированию ресурсов инфо</w:t>
      </w:r>
      <w:r w:rsidRPr="00E96E61">
        <w:t>р</w:t>
      </w:r>
      <w:r w:rsidRPr="00E96E61">
        <w:t>мационной системы обеспечения градостроительной деятельности.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Генеральный план </w:t>
      </w:r>
      <w:proofErr w:type="gramStart"/>
      <w:r w:rsidR="003E6123">
        <w:t>Новогригорьевского</w:t>
      </w:r>
      <w:r w:rsidR="007F1B88">
        <w:t xml:space="preserve"> </w:t>
      </w:r>
      <w:r w:rsidR="00534009">
        <w:t xml:space="preserve"> сельского</w:t>
      </w:r>
      <w:proofErr w:type="gramEnd"/>
      <w:r w:rsidR="00534009">
        <w:t xml:space="preserve"> поселения</w:t>
      </w:r>
      <w:r w:rsidRPr="00E96E61">
        <w:t xml:space="preserve">  устанавливает: 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1) функциональное зонирование территории поселения; 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2) характер развития поселения с определением подсистем социально-культурных </w:t>
      </w:r>
      <w:proofErr w:type="gramStart"/>
      <w:r w:rsidRPr="00E96E61">
        <w:t>и  общественно</w:t>
      </w:r>
      <w:proofErr w:type="gramEnd"/>
      <w:r w:rsidRPr="00E96E61">
        <w:t>-деловых  центров;</w:t>
      </w:r>
    </w:p>
    <w:p w:rsidR="00B50B67" w:rsidRPr="00E96E61" w:rsidRDefault="00B50B67" w:rsidP="00AD4C00">
      <w:pPr>
        <w:ind w:firstLine="540"/>
        <w:jc w:val="both"/>
      </w:pPr>
      <w:r w:rsidRPr="00E96E61">
        <w:t xml:space="preserve">3) направления развития различных </w:t>
      </w:r>
      <w:proofErr w:type="gramStart"/>
      <w:r w:rsidRPr="00E96E61">
        <w:t>типов  жилищного</w:t>
      </w:r>
      <w:proofErr w:type="gramEnd"/>
      <w:r w:rsidRPr="00E96E61">
        <w:t xml:space="preserve"> строительства за счет сноса ве</w:t>
      </w:r>
      <w:r w:rsidRPr="00E96E61">
        <w:t>т</w:t>
      </w:r>
      <w:r w:rsidRPr="00E96E61">
        <w:t>хого и аварийного жилья, а также путем освоения незастроенных территорий, обладающих выс</w:t>
      </w:r>
      <w:r w:rsidRPr="00E96E61">
        <w:t>о</w:t>
      </w:r>
      <w:r w:rsidRPr="00E96E61">
        <w:t>кой градостроительной ценностью;</w:t>
      </w:r>
    </w:p>
    <w:p w:rsidR="00B50B67" w:rsidRPr="00E96E61" w:rsidRDefault="00B50B67" w:rsidP="00AD4C00">
      <w:pPr>
        <w:ind w:firstLine="540"/>
        <w:jc w:val="both"/>
      </w:pPr>
      <w:r w:rsidRPr="00E96E61">
        <w:t>4) характер развития сети транспортных и инженерных узлов и коммуникаций, социал</w:t>
      </w:r>
      <w:r w:rsidRPr="00E96E61">
        <w:t>ь</w:t>
      </w:r>
      <w:r w:rsidRPr="00E96E61">
        <w:t>ной и производственной инфраструктур;</w:t>
      </w:r>
    </w:p>
    <w:p w:rsidR="00B50B67" w:rsidRPr="00E96E61" w:rsidRDefault="00B50B67" w:rsidP="00AD4C00">
      <w:pPr>
        <w:ind w:firstLine="540"/>
        <w:jc w:val="both"/>
      </w:pPr>
      <w:r w:rsidRPr="00E96E61">
        <w:t>5) характер развития средозащитной и рекреационной инфраструктуры.</w:t>
      </w:r>
    </w:p>
    <w:p w:rsidR="00B50B67" w:rsidRPr="00E96E61" w:rsidRDefault="00B50B67" w:rsidP="00AD4C00">
      <w:pPr>
        <w:ind w:firstLine="540"/>
        <w:jc w:val="both"/>
      </w:pPr>
      <w:r w:rsidRPr="00E96E61">
        <w:t>Этапы реализации генерального плана, их сроки определяются органами местного сам</w:t>
      </w:r>
      <w:r w:rsidRPr="00E96E61">
        <w:t>о</w:t>
      </w:r>
      <w:r w:rsidRPr="00E96E61">
        <w:t>управления поселения исходя из складывающейся социально-экономической обстановки в поселении, финансовых возможностей местного бюджета, сроков и этапов реализации соо</w:t>
      </w:r>
      <w:r w:rsidRPr="00E96E61">
        <w:t>т</w:t>
      </w:r>
      <w:r w:rsidRPr="00E96E61">
        <w:t>ветствующих федеральных и региональных целевых программ в части, затрагивающей терр</w:t>
      </w:r>
      <w:r w:rsidRPr="00E96E61">
        <w:t>и</w:t>
      </w:r>
      <w:r w:rsidRPr="00E96E61">
        <w:t xml:space="preserve">торию </w:t>
      </w:r>
      <w:r w:rsidR="00966B44">
        <w:t>Новогригорьевского</w:t>
      </w:r>
      <w:r w:rsidR="00534009">
        <w:t xml:space="preserve"> сельского поселения</w:t>
      </w:r>
      <w:r w:rsidRPr="00E96E61">
        <w:t xml:space="preserve">, приоритетных национальных проектов. </w:t>
      </w:r>
    </w:p>
    <w:p w:rsidR="00B50B67" w:rsidRPr="00E96E61" w:rsidRDefault="00B50B67" w:rsidP="00AD4C00">
      <w:pPr>
        <w:ind w:firstLine="540"/>
        <w:jc w:val="both"/>
      </w:pPr>
      <w:r w:rsidRPr="00E96E61">
        <w:t>При разработке программы комплексного развития систем коммунальной инфрастру</w:t>
      </w:r>
      <w:r w:rsidRPr="00E96E61">
        <w:t>к</w:t>
      </w:r>
      <w:r w:rsidRPr="00E96E61">
        <w:t>туры необходимо разработать и приложить схемы пространственного распределения (прои</w:t>
      </w:r>
      <w:r w:rsidRPr="00E96E61">
        <w:t>з</w:t>
      </w:r>
      <w:r w:rsidRPr="00E96E61">
        <w:t>водства и потребления) услуг по отраслям ЖКХ (электроснабжение, водоснабжение, водоо</w:t>
      </w:r>
      <w:r w:rsidRPr="00E96E61">
        <w:t>т</w:t>
      </w:r>
      <w:r w:rsidRPr="00E96E61">
        <w:t>вед</w:t>
      </w:r>
      <w:r w:rsidRPr="00E96E61">
        <w:t>е</w:t>
      </w:r>
      <w:r w:rsidRPr="00E96E61">
        <w:t xml:space="preserve">ние, газоснабжение, теплоснабжение) с перспективой развития каждой отрасли по годам. </w:t>
      </w:r>
    </w:p>
    <w:p w:rsidR="00B50B67" w:rsidRDefault="00B50B67" w:rsidP="00534009">
      <w:pPr>
        <w:ind w:firstLine="540"/>
      </w:pPr>
    </w:p>
    <w:p w:rsidR="00E24A24" w:rsidRDefault="00E24A24" w:rsidP="00E24A24">
      <w:pPr>
        <w:ind w:left="399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24A24">
        <w:rPr>
          <w:b/>
          <w:sz w:val="28"/>
          <w:szCs w:val="28"/>
        </w:rPr>
        <w:t>Электроснабжение</w:t>
      </w:r>
    </w:p>
    <w:p w:rsidR="00863979" w:rsidRDefault="00863979" w:rsidP="00E24A24">
      <w:pPr>
        <w:ind w:left="3990"/>
        <w:rPr>
          <w:b/>
          <w:sz w:val="28"/>
          <w:szCs w:val="28"/>
        </w:rPr>
      </w:pPr>
    </w:p>
    <w:p w:rsidR="00E24A24" w:rsidRPr="00043411" w:rsidRDefault="00E24A24" w:rsidP="00E24A24">
      <w:pPr>
        <w:rPr>
          <w:b/>
        </w:rPr>
      </w:pPr>
      <w:r w:rsidRPr="00043411">
        <w:rPr>
          <w:b/>
        </w:rPr>
        <w:t>Электрические сети. Характеристика технологического процесса распределения эле</w:t>
      </w:r>
      <w:r w:rsidRPr="00043411">
        <w:rPr>
          <w:b/>
        </w:rPr>
        <w:t>к</w:t>
      </w:r>
      <w:r w:rsidRPr="00043411">
        <w:rPr>
          <w:b/>
        </w:rPr>
        <w:t>троэнергии, техническое состояние оборудования, потери электроэнергии</w:t>
      </w:r>
      <w:r>
        <w:rPr>
          <w:b/>
        </w:rPr>
        <w:t>.</w:t>
      </w:r>
    </w:p>
    <w:p w:rsidR="00E24A24" w:rsidRPr="00A71BB5" w:rsidRDefault="00E24A24" w:rsidP="00E24A24">
      <w:pPr>
        <w:rPr>
          <w:sz w:val="16"/>
          <w:szCs w:val="16"/>
        </w:rPr>
      </w:pPr>
    </w:p>
    <w:p w:rsidR="00E24A24" w:rsidRPr="00E96E61" w:rsidRDefault="00E24A24" w:rsidP="00E24A24">
      <w:r w:rsidRPr="00E96E61">
        <w:t xml:space="preserve">Основные показатели  </w:t>
      </w:r>
    </w:p>
    <w:p w:rsidR="00E24A24" w:rsidRPr="00E96E61" w:rsidRDefault="00E24A24" w:rsidP="00E24A24">
      <w:r w:rsidRPr="00E96E61">
        <w:t xml:space="preserve">Отпущено </w:t>
      </w:r>
      <w:proofErr w:type="spellStart"/>
      <w:r w:rsidRPr="00E96E61">
        <w:t>эл.энергии</w:t>
      </w:r>
      <w:proofErr w:type="spellEnd"/>
      <w:r w:rsidRPr="00E96E61">
        <w:t xml:space="preserve"> в сеть         – </w:t>
      </w:r>
      <w:r>
        <w:t>5</w:t>
      </w:r>
      <w:r w:rsidRPr="00E96E61">
        <w:t xml:space="preserve"> млн. квт/</w:t>
      </w:r>
      <w:proofErr w:type="gramStart"/>
      <w:r w:rsidRPr="00E96E61">
        <w:t>час.,</w:t>
      </w:r>
      <w:proofErr w:type="gramEnd"/>
    </w:p>
    <w:p w:rsidR="00E24A24" w:rsidRPr="00E96E61" w:rsidRDefault="00E24A24" w:rsidP="00E24A24">
      <w:r w:rsidRPr="00E96E61">
        <w:t xml:space="preserve">Технические потери                       – </w:t>
      </w:r>
      <w:r>
        <w:t xml:space="preserve">1 </w:t>
      </w:r>
      <w:r w:rsidRPr="00E96E61">
        <w:t>млн. квт/</w:t>
      </w:r>
      <w:proofErr w:type="gramStart"/>
      <w:r w:rsidRPr="00E96E61">
        <w:t>час.,</w:t>
      </w:r>
      <w:proofErr w:type="gramEnd"/>
    </w:p>
    <w:p w:rsidR="00E24A24" w:rsidRPr="00E96E61" w:rsidRDefault="00E24A24" w:rsidP="00E24A24">
      <w:r w:rsidRPr="00E96E61">
        <w:t xml:space="preserve">В том числе собственные </w:t>
      </w:r>
      <w:proofErr w:type="gramStart"/>
      <w:r w:rsidRPr="00E96E61">
        <w:t>нужды  –</w:t>
      </w:r>
      <w:proofErr w:type="gramEnd"/>
      <w:r w:rsidRPr="00E96E61">
        <w:t xml:space="preserve"> </w:t>
      </w:r>
      <w:r>
        <w:t xml:space="preserve">1 </w:t>
      </w:r>
      <w:r w:rsidRPr="00E96E61">
        <w:t>млн. квт/час.,</w:t>
      </w:r>
    </w:p>
    <w:p w:rsidR="00E24A24" w:rsidRPr="00E96E61" w:rsidRDefault="00E24A24" w:rsidP="00E24A24">
      <w:r w:rsidRPr="00E96E61">
        <w:t xml:space="preserve">Реализация электроэнергии           – </w:t>
      </w:r>
      <w:r>
        <w:t xml:space="preserve">3 </w:t>
      </w:r>
      <w:r w:rsidRPr="00E96E61">
        <w:t>млн. квт/</w:t>
      </w:r>
      <w:proofErr w:type="gramStart"/>
      <w:r w:rsidRPr="00E96E61">
        <w:t>час.,</w:t>
      </w:r>
      <w:proofErr w:type="gramEnd"/>
    </w:p>
    <w:p w:rsidR="00E24A24" w:rsidRPr="00E96E61" w:rsidRDefault="00E24A24" w:rsidP="00E24A24">
      <w:r w:rsidRPr="00E96E61">
        <w:t xml:space="preserve">В том числе </w:t>
      </w:r>
      <w:proofErr w:type="spellStart"/>
      <w:r w:rsidRPr="00E96E61">
        <w:t>Хоз.нужды</w:t>
      </w:r>
      <w:proofErr w:type="spellEnd"/>
      <w:r w:rsidRPr="00E96E61">
        <w:t xml:space="preserve">                  – </w:t>
      </w:r>
      <w:r>
        <w:t xml:space="preserve">3 </w:t>
      </w:r>
      <w:r w:rsidRPr="00E96E61">
        <w:t>млн. квт/</w:t>
      </w:r>
      <w:proofErr w:type="gramStart"/>
      <w:r w:rsidRPr="00E96E61">
        <w:t>час.,</w:t>
      </w:r>
      <w:proofErr w:type="gramEnd"/>
    </w:p>
    <w:p w:rsidR="00E24A24" w:rsidRPr="00E96E61" w:rsidRDefault="00E24A24" w:rsidP="00E24A24">
      <w:r w:rsidRPr="00E96E61">
        <w:t xml:space="preserve">Потери коммерческие                     – </w:t>
      </w:r>
      <w:r>
        <w:t xml:space="preserve">0 </w:t>
      </w:r>
      <w:r w:rsidRPr="00E96E61">
        <w:t>млн. квт/час.</w:t>
      </w:r>
    </w:p>
    <w:p w:rsidR="00E24A24" w:rsidRPr="00E96E61" w:rsidRDefault="00E24A24" w:rsidP="00E24A24"/>
    <w:p w:rsidR="00E24A24" w:rsidRPr="00E96E61" w:rsidRDefault="00E24A24" w:rsidP="00E24A24">
      <w:r w:rsidRPr="00E96E61">
        <w:t xml:space="preserve">Потери электроэнергии разделены на четыре составляющих: </w:t>
      </w:r>
    </w:p>
    <w:p w:rsidR="00E24A24" w:rsidRPr="00E96E61" w:rsidRDefault="00E24A24" w:rsidP="00E24A24">
      <w:r w:rsidRPr="00E96E61">
        <w:t xml:space="preserve">технические – составляют </w:t>
      </w:r>
      <w:r>
        <w:t>15</w:t>
      </w:r>
      <w:r w:rsidRPr="00E96E61">
        <w:t>%;</w:t>
      </w:r>
    </w:p>
    <w:p w:rsidR="00E24A24" w:rsidRPr="00E96E61" w:rsidRDefault="00E24A24" w:rsidP="00E24A24">
      <w:r w:rsidRPr="00E96E61">
        <w:t xml:space="preserve">собственные нужды подстанций – составляют </w:t>
      </w:r>
      <w:r>
        <w:t>15</w:t>
      </w:r>
      <w:r w:rsidRPr="00E96E61">
        <w:t>%;</w:t>
      </w:r>
    </w:p>
    <w:p w:rsidR="00E24A24" w:rsidRPr="00E96E61" w:rsidRDefault="00E24A24" w:rsidP="00E24A24">
      <w:r w:rsidRPr="00E96E61">
        <w:t>инструментальные погрешности измерения – входят в технические потери;</w:t>
      </w:r>
    </w:p>
    <w:p w:rsidR="00E24A24" w:rsidRPr="00E96E61" w:rsidRDefault="00E24A24" w:rsidP="00E24A24">
      <w:r w:rsidRPr="00E96E61">
        <w:t>коммерческие потери – обусловлены хищениями электроэнергии и другими причинами в сфере организации контроля за потреблением электроэнергии.</w:t>
      </w:r>
    </w:p>
    <w:p w:rsidR="00E24A24" w:rsidRPr="00E96E61" w:rsidRDefault="00E24A24" w:rsidP="00E24A24">
      <w:pPr>
        <w:ind w:firstLine="540"/>
        <w:jc w:val="both"/>
      </w:pPr>
      <w:r w:rsidRPr="00E96E61">
        <w:t xml:space="preserve">Основными проблемами текущего состояния электроэнергетики </w:t>
      </w:r>
      <w:r>
        <w:t>поселения</w:t>
      </w:r>
      <w:r w:rsidRPr="00E96E61">
        <w:t xml:space="preserve"> являются:</w:t>
      </w:r>
    </w:p>
    <w:p w:rsidR="00E24A24" w:rsidRPr="00E96E61" w:rsidRDefault="00E24A24" w:rsidP="00E24A24">
      <w:pPr>
        <w:ind w:firstLine="540"/>
        <w:jc w:val="both"/>
      </w:pPr>
      <w:r>
        <w:t>-</w:t>
      </w:r>
      <w:r w:rsidRPr="00E96E61">
        <w:t xml:space="preserve">процесс старения основного оборудования электрических сетей </w:t>
      </w:r>
      <w:r>
        <w:t>поселения</w:t>
      </w:r>
      <w:r w:rsidRPr="00E96E61">
        <w:t xml:space="preserve">; </w:t>
      </w:r>
    </w:p>
    <w:p w:rsidR="00E24A24" w:rsidRPr="00E96E61" w:rsidRDefault="00E24A24" w:rsidP="00E24A24">
      <w:pPr>
        <w:ind w:firstLine="540"/>
        <w:jc w:val="both"/>
      </w:pPr>
      <w:r>
        <w:t>-</w:t>
      </w:r>
      <w:r w:rsidRPr="00E96E61">
        <w:t>недостаточные объемы инвестиций в электро</w:t>
      </w:r>
      <w:r w:rsidRPr="00E96E61">
        <w:softHyphen/>
        <w:t>энергетику за прошедшие годы;</w:t>
      </w:r>
    </w:p>
    <w:p w:rsidR="00E24A24" w:rsidRPr="00E96E61" w:rsidRDefault="00E24A24" w:rsidP="00E24A24">
      <w:pPr>
        <w:ind w:firstLine="540"/>
        <w:jc w:val="both"/>
      </w:pPr>
      <w:r>
        <w:t>-</w:t>
      </w:r>
      <w:r w:rsidRPr="00E96E61">
        <w:t>отсутствие понимания концепции опережающего развития системы электроэнергетики.</w:t>
      </w:r>
    </w:p>
    <w:p w:rsidR="00E24A24" w:rsidRPr="00E96E61" w:rsidRDefault="00E24A24" w:rsidP="00E24A24">
      <w:pPr>
        <w:ind w:firstLine="540"/>
        <w:jc w:val="both"/>
      </w:pPr>
      <w:r w:rsidRPr="00E96E61">
        <w:t xml:space="preserve">В результате вышеперечисленных факторов </w:t>
      </w:r>
      <w:proofErr w:type="gramStart"/>
      <w:r w:rsidRPr="00E96E61">
        <w:t>возник</w:t>
      </w:r>
      <w:r>
        <w:t xml:space="preserve">ает </w:t>
      </w:r>
      <w:r w:rsidRPr="00E96E61">
        <w:t xml:space="preserve"> дефицит</w:t>
      </w:r>
      <w:proofErr w:type="gramEnd"/>
      <w:r w:rsidRPr="00E96E61">
        <w:t xml:space="preserve"> </w:t>
      </w:r>
      <w:proofErr w:type="spellStart"/>
      <w:r w:rsidRPr="00E96E61">
        <w:t>энергомощностей</w:t>
      </w:r>
      <w:proofErr w:type="spellEnd"/>
      <w:r w:rsidRPr="00E96E61">
        <w:t>.</w:t>
      </w:r>
    </w:p>
    <w:p w:rsidR="00E24A24" w:rsidRPr="00E96E61" w:rsidRDefault="00E24A24" w:rsidP="00E24A24">
      <w:pPr>
        <w:ind w:firstLine="540"/>
        <w:jc w:val="both"/>
      </w:pPr>
      <w:r w:rsidRPr="00E96E61">
        <w:lastRenderedPageBreak/>
        <w:t xml:space="preserve">Приоритетными направлениями развития электроснабжения </w:t>
      </w:r>
      <w:r>
        <w:t>поселения</w:t>
      </w:r>
      <w:r w:rsidRPr="00E96E61">
        <w:t xml:space="preserve"> являются:</w:t>
      </w:r>
    </w:p>
    <w:p w:rsidR="00E24A24" w:rsidRPr="00E96E61" w:rsidRDefault="00E24A24" w:rsidP="00E24A24">
      <w:pPr>
        <w:ind w:firstLine="540"/>
        <w:jc w:val="both"/>
      </w:pPr>
      <w:r w:rsidRPr="00E96E61">
        <w:t>- техническая реконструкция и расширение действующих трансформаторных подста</w:t>
      </w:r>
      <w:r w:rsidRPr="00E96E61">
        <w:t>н</w:t>
      </w:r>
      <w:r w:rsidRPr="00E96E61">
        <w:t xml:space="preserve">ций, демонтаж морально и </w:t>
      </w:r>
      <w:proofErr w:type="gramStart"/>
      <w:r w:rsidRPr="00E96E61">
        <w:t>физически устаревшего</w:t>
      </w:r>
      <w:proofErr w:type="gramEnd"/>
      <w:r w:rsidRPr="00E96E61">
        <w:t xml:space="preserve"> и изношенного </w:t>
      </w:r>
      <w:proofErr w:type="spellStart"/>
      <w:r w:rsidRPr="00E96E61">
        <w:t>энергооборудования</w:t>
      </w:r>
      <w:proofErr w:type="spellEnd"/>
      <w:r w:rsidRPr="00E96E61">
        <w:t xml:space="preserve"> сре</w:t>
      </w:r>
      <w:r w:rsidRPr="00E96E61">
        <w:t>д</w:t>
      </w:r>
      <w:r w:rsidRPr="00E96E61">
        <w:t>него и низкого напряжения</w:t>
      </w:r>
      <w:r>
        <w:t>;</w:t>
      </w:r>
    </w:p>
    <w:p w:rsidR="00E24A24" w:rsidRPr="00E96E61" w:rsidRDefault="00E24A24" w:rsidP="00E24A24">
      <w:pPr>
        <w:ind w:firstLine="540"/>
        <w:jc w:val="both"/>
      </w:pPr>
      <w:r w:rsidRPr="00E96E61">
        <w:t>- реконструкция системообразующих электрических сетей напряжением 10 и выше кВ с целью недопущения введения ограничений отпуска электроэнергии в аварийных ситуациях</w:t>
      </w:r>
      <w:r>
        <w:t>;</w:t>
      </w:r>
    </w:p>
    <w:p w:rsidR="00E24A24" w:rsidRPr="00E96E61" w:rsidRDefault="00E24A24" w:rsidP="00E24A24">
      <w:pPr>
        <w:ind w:firstLine="540"/>
        <w:jc w:val="both"/>
      </w:pPr>
      <w:r w:rsidRPr="00E96E61">
        <w:t xml:space="preserve">- реконструкция распределительных электросетей и подстанций </w:t>
      </w:r>
      <w:r>
        <w:t>в</w:t>
      </w:r>
      <w:r w:rsidRPr="00E96E61">
        <w:t xml:space="preserve"> местах расположения важнейших объектов жизнеобеспечения с полноценным замещением выбывающей тран</w:t>
      </w:r>
      <w:r w:rsidRPr="00E96E61">
        <w:t>с</w:t>
      </w:r>
      <w:r w:rsidRPr="00E96E61">
        <w:t>форматорной мощности и учетом перспективы развития инфраструктуры,</w:t>
      </w:r>
    </w:p>
    <w:p w:rsidR="00E24A24" w:rsidRPr="00E96E61" w:rsidRDefault="00E24A24" w:rsidP="00E24A24">
      <w:pPr>
        <w:ind w:firstLine="540"/>
        <w:jc w:val="both"/>
      </w:pPr>
      <w:r w:rsidRPr="00E96E61">
        <w:t xml:space="preserve">- масштабное внедрение энергосберегающих технологий и оборудования в </w:t>
      </w:r>
      <w:r>
        <w:t>поселенч</w:t>
      </w:r>
      <w:r>
        <w:t>е</w:t>
      </w:r>
      <w:r>
        <w:t>ском</w:t>
      </w:r>
      <w:r w:rsidRPr="00E96E61">
        <w:t xml:space="preserve"> хозяйстве.</w:t>
      </w:r>
    </w:p>
    <w:p w:rsidR="00E24A24" w:rsidRPr="00E96E61" w:rsidRDefault="00E24A24" w:rsidP="00E24A24">
      <w:pPr>
        <w:ind w:firstLine="540"/>
        <w:jc w:val="both"/>
      </w:pPr>
      <w:r w:rsidRPr="00E96E61">
        <w:t xml:space="preserve">Реализация указанных направлений позволит надежно обеспечить </w:t>
      </w:r>
      <w:proofErr w:type="gramStart"/>
      <w:r w:rsidRPr="00E96E61">
        <w:t>потребности  жилья</w:t>
      </w:r>
      <w:proofErr w:type="gramEnd"/>
      <w:r w:rsidRPr="00E96E61">
        <w:t xml:space="preserve"> и </w:t>
      </w:r>
      <w:r>
        <w:t xml:space="preserve">поселенческого </w:t>
      </w:r>
      <w:r w:rsidRPr="00E96E61">
        <w:t xml:space="preserve"> хозяйства в электроэнергии, </w:t>
      </w:r>
      <w:proofErr w:type="spellStart"/>
      <w:r w:rsidRPr="00E96E61">
        <w:t>бездефицитность</w:t>
      </w:r>
      <w:proofErr w:type="spellEnd"/>
      <w:r w:rsidRPr="00E96E61">
        <w:t xml:space="preserve"> </w:t>
      </w:r>
      <w:r>
        <w:t>поселенческого энерго</w:t>
      </w:r>
      <w:r w:rsidRPr="00E96E61">
        <w:t>бала</w:t>
      </w:r>
      <w:r w:rsidRPr="00E96E61">
        <w:t>н</w:t>
      </w:r>
      <w:r w:rsidRPr="00E96E61">
        <w:t>са как по мощности, так и по электроэнергии.</w:t>
      </w:r>
    </w:p>
    <w:p w:rsidR="00E24A24" w:rsidRPr="00E96E61" w:rsidRDefault="00E24A24" w:rsidP="00E24A24">
      <w:pPr>
        <w:ind w:firstLine="540"/>
        <w:jc w:val="both"/>
      </w:pPr>
      <w:r w:rsidRPr="00E96E61">
        <w:t>На сегодняшнее время проблем с экологическими требованиями при эксплуатации эле</w:t>
      </w:r>
      <w:r w:rsidRPr="00E96E61">
        <w:t>к</w:t>
      </w:r>
      <w:r w:rsidRPr="00E96E61">
        <w:t>трических сетей нет, за исключением стандартных, которые включают в себя следующее:</w:t>
      </w:r>
    </w:p>
    <w:p w:rsidR="00E24A24" w:rsidRPr="00E96E61" w:rsidRDefault="00E24A24" w:rsidP="00E24A24">
      <w:pPr>
        <w:ind w:firstLine="540"/>
        <w:jc w:val="both"/>
      </w:pPr>
      <w:r w:rsidRPr="00E96E61">
        <w:t>Эксплуатация автотранспортных средств,</w:t>
      </w:r>
    </w:p>
    <w:p w:rsidR="00E24A24" w:rsidRDefault="00E24A24" w:rsidP="00E24A24">
      <w:pPr>
        <w:ind w:firstLine="540"/>
        <w:jc w:val="both"/>
      </w:pPr>
      <w:r w:rsidRPr="00E96E61">
        <w:t>Утилизация всевозможных отходов (железобетон, лом черных и цветных металлов, а</w:t>
      </w:r>
      <w:r w:rsidRPr="00E96E61">
        <w:t>в</w:t>
      </w:r>
      <w:r w:rsidRPr="00E96E61">
        <w:t>тошины, отработанные масла).</w:t>
      </w:r>
    </w:p>
    <w:p w:rsidR="008D2D50" w:rsidRDefault="008D2D50" w:rsidP="00E24A24">
      <w:pPr>
        <w:ind w:firstLine="540"/>
        <w:jc w:val="both"/>
      </w:pPr>
    </w:p>
    <w:p w:rsidR="00E24A24" w:rsidRPr="008D2D50" w:rsidRDefault="00E24A24" w:rsidP="00E24A24">
      <w:pPr>
        <w:rPr>
          <w:b/>
        </w:rPr>
      </w:pPr>
      <w:r>
        <w:rPr>
          <w:b/>
        </w:rPr>
        <w:t>3</w:t>
      </w:r>
      <w:r w:rsidRPr="00393CFC">
        <w:rPr>
          <w:b/>
        </w:rPr>
        <w:t>.</w:t>
      </w:r>
      <w:r>
        <w:rPr>
          <w:b/>
        </w:rPr>
        <w:t>1</w:t>
      </w:r>
      <w:r w:rsidRPr="00393CFC">
        <w:rPr>
          <w:b/>
        </w:rPr>
        <w:t xml:space="preserve"> Обоснование требований к системе электроснабжения установленным стандартом к</w:t>
      </w:r>
      <w:r w:rsidRPr="00393CFC">
        <w:rPr>
          <w:b/>
        </w:rPr>
        <w:t>а</w:t>
      </w:r>
      <w:r w:rsidRPr="00393CFC">
        <w:rPr>
          <w:b/>
        </w:rPr>
        <w:t>чества</w:t>
      </w:r>
      <w:r>
        <w:rPr>
          <w:b/>
        </w:rPr>
        <w:t>.</w:t>
      </w:r>
    </w:p>
    <w:p w:rsidR="00E24A24" w:rsidRPr="00E96E61" w:rsidRDefault="00E24A24" w:rsidP="00E24A24">
      <w:pPr>
        <w:ind w:firstLine="540"/>
        <w:jc w:val="both"/>
      </w:pPr>
      <w:bookmarkStart w:id="8" w:name="_Toc159325963"/>
      <w:r w:rsidRPr="00E96E61">
        <w:t>Данный стандарт определяет критерии качества услуги «Электроснабжения», достиж</w:t>
      </w:r>
      <w:r w:rsidRPr="00E96E61">
        <w:t>е</w:t>
      </w:r>
      <w:r w:rsidRPr="00E96E61">
        <w:t xml:space="preserve">ние которого определяется выполнением мероприятий Программы комплексного развития систем коммунальной инфраструктуры </w:t>
      </w:r>
      <w:r>
        <w:t>поселения</w:t>
      </w:r>
      <w:r w:rsidRPr="00E96E61">
        <w:t xml:space="preserve"> на период 201</w:t>
      </w:r>
      <w:r>
        <w:t>8-202</w:t>
      </w:r>
      <w:r w:rsidR="008D2D50">
        <w:t>8</w:t>
      </w:r>
      <w:r>
        <w:t xml:space="preserve"> </w:t>
      </w:r>
      <w:r w:rsidRPr="00E96E61">
        <w:t>гг</w:t>
      </w:r>
      <w:r>
        <w:t>.</w:t>
      </w:r>
      <w:r w:rsidRPr="00E96E61">
        <w:t xml:space="preserve"> в области электр</w:t>
      </w:r>
      <w:r w:rsidRPr="00E96E61">
        <w:t>о</w:t>
      </w:r>
      <w:r w:rsidRPr="00E96E61">
        <w:t>снабж</w:t>
      </w:r>
      <w:r w:rsidRPr="00E96E61">
        <w:t>е</w:t>
      </w:r>
      <w:r w:rsidRPr="00E96E61">
        <w:t xml:space="preserve">ния. </w:t>
      </w:r>
    </w:p>
    <w:p w:rsidR="00E24A24" w:rsidRPr="00E96E61" w:rsidRDefault="00E24A24" w:rsidP="00E24A24">
      <w:pPr>
        <w:ind w:firstLine="540"/>
        <w:jc w:val="both"/>
      </w:pPr>
      <w:r w:rsidRPr="00E96E61">
        <w:t>1. Нормативные правовые акты, регулирующие предоставление услуги</w:t>
      </w:r>
      <w:bookmarkEnd w:id="8"/>
    </w:p>
    <w:p w:rsidR="00E24A24" w:rsidRPr="00E96E61" w:rsidRDefault="00E24A24" w:rsidP="00E24A24">
      <w:pPr>
        <w:ind w:firstLine="540"/>
        <w:jc w:val="both"/>
      </w:pPr>
      <w:r w:rsidRPr="00E96E61">
        <w:t>1.1. 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дополнениями);</w:t>
      </w:r>
    </w:p>
    <w:p w:rsidR="00E24A24" w:rsidRPr="00E96E61" w:rsidRDefault="00E24A24" w:rsidP="00E24A24">
      <w:pPr>
        <w:ind w:firstLine="540"/>
        <w:jc w:val="both"/>
      </w:pPr>
      <w:r w:rsidRPr="00E96E61">
        <w:t>1.2. Постановление Госстроя Российской Федерации от 27 сентября 2003 № 170 «Об у</w:t>
      </w:r>
      <w:r w:rsidRPr="00E96E61">
        <w:t>т</w:t>
      </w:r>
      <w:r w:rsidRPr="00E96E61">
        <w:t>верждении Правил и норм технической эксплуатации жилищного фонда»;</w:t>
      </w:r>
    </w:p>
    <w:p w:rsidR="00E24A24" w:rsidRPr="00E96E61" w:rsidRDefault="00E24A24" w:rsidP="00E24A24">
      <w:pPr>
        <w:ind w:firstLine="540"/>
        <w:jc w:val="both"/>
      </w:pPr>
      <w:r w:rsidRPr="00E96E61">
        <w:t>1.3. Строительные нормы и правила СНиП 23-05-95 «Естественное и искусственное о</w:t>
      </w:r>
      <w:r w:rsidRPr="00E96E61">
        <w:t>с</w:t>
      </w:r>
      <w:r w:rsidRPr="00E96E61">
        <w:t>вещение» (утв. Постановлением Минстроя России от 2 августа 1995 № 18-78);</w:t>
      </w:r>
    </w:p>
    <w:p w:rsidR="00E24A24" w:rsidRPr="00E96E61" w:rsidRDefault="00E24A24" w:rsidP="00E24A24">
      <w:pPr>
        <w:ind w:firstLine="540"/>
        <w:jc w:val="both"/>
      </w:pPr>
      <w:r w:rsidRPr="00E96E61">
        <w:t>1.4. Постановление Правительства Российской Федерации от 23 мая 2006 № 307 «О п</w:t>
      </w:r>
      <w:r w:rsidRPr="00E96E61">
        <w:t>о</w:t>
      </w:r>
      <w:r w:rsidRPr="00E96E61">
        <w:t>рядке предоставления коммунальных услуг гражданам»;</w:t>
      </w:r>
    </w:p>
    <w:p w:rsidR="00E24A24" w:rsidRPr="00E96E61" w:rsidRDefault="00E24A24" w:rsidP="00E24A24">
      <w:pPr>
        <w:ind w:firstLine="540"/>
        <w:jc w:val="both"/>
      </w:pPr>
      <w:r w:rsidRPr="00E96E61">
        <w:t>1.5. Государственный стандарт ГОСТ 19431-84 «Энергетика и электрификация. Терм</w:t>
      </w:r>
      <w:r w:rsidRPr="00E96E61">
        <w:t>и</w:t>
      </w:r>
      <w:r w:rsidRPr="00E96E61">
        <w:t>ны и определения» (утвержден постановлением Государственного комитета СССР по ста</w:t>
      </w:r>
      <w:r w:rsidRPr="00E96E61">
        <w:t>н</w:t>
      </w:r>
      <w:r w:rsidRPr="00E96E61">
        <w:t>дартам от 27 марта 1984 № 1029);</w:t>
      </w:r>
    </w:p>
    <w:p w:rsidR="00E24A24" w:rsidRPr="00E96E61" w:rsidRDefault="00E24A24" w:rsidP="00E24A24">
      <w:pPr>
        <w:ind w:firstLine="540"/>
        <w:jc w:val="both"/>
      </w:pPr>
      <w:r w:rsidRPr="00E96E61">
        <w:t>1.6. Государственный стандарт ГОСТ 13109-97 «Нормы качества электрической энергии в системах общего назначения» (введен в действие постановлением Государственного ком</w:t>
      </w:r>
      <w:r w:rsidRPr="00E96E61">
        <w:t>и</w:t>
      </w:r>
      <w:r w:rsidRPr="00E96E61">
        <w:t>тета Российской Федерации по стандартизации, метрологии и сертификации от 28 августа 1998 № 338);</w:t>
      </w:r>
    </w:p>
    <w:p w:rsidR="00E24A24" w:rsidRPr="00E96E61" w:rsidRDefault="00E24A24" w:rsidP="00E24A24">
      <w:pPr>
        <w:ind w:firstLine="540"/>
        <w:jc w:val="both"/>
      </w:pPr>
      <w:r w:rsidRPr="00E96E61">
        <w:t>1.7. Межгосударственный стандарт ГОСТ 721-77 «Системы энергоснабжения, сети, и</w:t>
      </w:r>
      <w:r w:rsidRPr="00E96E61">
        <w:t>с</w:t>
      </w:r>
      <w:r w:rsidRPr="00E96E61">
        <w:t>точники, преобразователи и приемники электрической энергии. Номинальные напряжения свыше 1000В» (утв. Постановлением Госстандарта СССР от 27 мая 1977 № 1376);</w:t>
      </w:r>
    </w:p>
    <w:p w:rsidR="00E24A24" w:rsidRPr="00E96E61" w:rsidRDefault="00E24A24" w:rsidP="00E24A24">
      <w:pPr>
        <w:ind w:firstLine="540"/>
        <w:jc w:val="both"/>
      </w:pPr>
      <w:r w:rsidRPr="00E96E61">
        <w:t>1.8. Государственный стандарт ГОСТ 21128-83 «Системы энергоснабжения, сети, и</w:t>
      </w:r>
      <w:r w:rsidRPr="00E96E61">
        <w:t>с</w:t>
      </w:r>
      <w:r w:rsidRPr="00E96E61">
        <w:t>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</w:t>
      </w:r>
      <w:r w:rsidRPr="00E96E61">
        <w:t>о</w:t>
      </w:r>
      <w:r w:rsidRPr="00E96E61">
        <w:t>ября 1983 № 5576);</w:t>
      </w:r>
    </w:p>
    <w:p w:rsidR="00E24A24" w:rsidRPr="00E96E61" w:rsidRDefault="00E24A24" w:rsidP="00E24A24">
      <w:pPr>
        <w:ind w:firstLine="540"/>
        <w:jc w:val="both"/>
      </w:pPr>
      <w:r w:rsidRPr="00E96E61">
        <w:t>1.9. Государственный стандарт ГОСТ 6697-83 «Системы электроснабжения, источники, преобразователи и приемники электрической энергии переменного тока. Номинальные част</w:t>
      </w:r>
      <w:r w:rsidRPr="00E96E61">
        <w:t>о</w:t>
      </w:r>
      <w:r w:rsidRPr="00E96E61">
        <w:t>ты» (утвержден постановлением Государственного комитета СССР по стандартам от 3 мая 1983 № 2147);</w:t>
      </w:r>
    </w:p>
    <w:p w:rsidR="00E24A24" w:rsidRPr="00E96E61" w:rsidRDefault="00E24A24" w:rsidP="00E24A24">
      <w:pPr>
        <w:ind w:firstLine="540"/>
        <w:jc w:val="both"/>
      </w:pPr>
      <w:r w:rsidRPr="00E96E61">
        <w:t>1.10. Иные нормативные правовые акты Российской Федерации.</w:t>
      </w:r>
    </w:p>
    <w:p w:rsidR="00E24A24" w:rsidRPr="00E96E61" w:rsidRDefault="00E24A24" w:rsidP="00E24A24">
      <w:pPr>
        <w:ind w:firstLine="540"/>
        <w:jc w:val="both"/>
      </w:pPr>
      <w:bookmarkStart w:id="9" w:name="_Toc159325965"/>
      <w:r w:rsidRPr="00E96E61">
        <w:t>2. Требования к качеству услуги, закрепляемые стандартом</w:t>
      </w:r>
      <w:bookmarkEnd w:id="9"/>
    </w:p>
    <w:p w:rsidR="00E24A24" w:rsidRPr="00E96E61" w:rsidRDefault="00E24A24" w:rsidP="00E24A24">
      <w:pPr>
        <w:ind w:firstLine="540"/>
        <w:jc w:val="both"/>
      </w:pPr>
      <w:bookmarkStart w:id="10" w:name="_Toc159325966"/>
      <w:r w:rsidRPr="00E96E61">
        <w:lastRenderedPageBreak/>
        <w:t>2.1. Требования к качеству электроэнергии</w:t>
      </w:r>
      <w:bookmarkEnd w:id="10"/>
      <w:r w:rsidRPr="00E96E61">
        <w:t>;</w:t>
      </w:r>
    </w:p>
    <w:p w:rsidR="00E24A24" w:rsidRPr="00E96E61" w:rsidRDefault="00E24A24" w:rsidP="00E24A24">
      <w:pPr>
        <w:ind w:firstLine="540"/>
        <w:jc w:val="both"/>
      </w:pPr>
      <w:r w:rsidRPr="00E96E61">
        <w:t>2.1.1. Стандартное номинальное напряжение в сетях однофазного переменного тока должно составлять - 220В, в трехфазных сетях - 380В;</w:t>
      </w:r>
    </w:p>
    <w:p w:rsidR="00E24A24" w:rsidRPr="00E96E61" w:rsidRDefault="00E24A24" w:rsidP="00E24A24">
      <w:pPr>
        <w:ind w:firstLine="540"/>
        <w:jc w:val="both"/>
      </w:pPr>
      <w:r w:rsidRPr="00E96E61">
        <w:t>2.1.2. Допустимое отклонение напряжения должно составлять не более 10% от ном</w:t>
      </w:r>
      <w:r w:rsidRPr="00E96E61">
        <w:t>и</w:t>
      </w:r>
      <w:r w:rsidRPr="00E96E61">
        <w:t>нального напряжения электрической сети;</w:t>
      </w:r>
    </w:p>
    <w:p w:rsidR="00E24A24" w:rsidRPr="00E96E61" w:rsidRDefault="00E24A24" w:rsidP="00E24A24">
      <w:pPr>
        <w:ind w:firstLine="540"/>
        <w:jc w:val="both"/>
      </w:pPr>
      <w:r w:rsidRPr="00E96E61">
        <w:t>2.1.3. Допустимое отклонение частоты переменного тока в электрических сетях должно составлять не более 0,4 Гц от стандартного номинального значения 50 Гц.</w:t>
      </w:r>
    </w:p>
    <w:p w:rsidR="00E24A24" w:rsidRPr="00E96E61" w:rsidRDefault="00E24A24" w:rsidP="00E24A24">
      <w:pPr>
        <w:ind w:firstLine="540"/>
        <w:jc w:val="both"/>
      </w:pPr>
      <w:bookmarkStart w:id="11" w:name="_Toc159325967"/>
      <w:r w:rsidRPr="00E96E61">
        <w:t>2.2. Требования к непрерывности электроснабжения</w:t>
      </w:r>
      <w:bookmarkEnd w:id="11"/>
      <w:r w:rsidRPr="00E96E61">
        <w:t>;</w:t>
      </w:r>
    </w:p>
    <w:p w:rsidR="00E24A24" w:rsidRPr="00E96E61" w:rsidRDefault="00E24A24" w:rsidP="00E24A24">
      <w:pPr>
        <w:ind w:firstLine="540"/>
        <w:jc w:val="both"/>
      </w:pPr>
      <w:r w:rsidRPr="00E96E61">
        <w:t>2.2.1. Электроэнергия должна предоставляться всем потребителям круглосуточно, кроме случаев плановых отключений, аварийных ситуаций или о</w:t>
      </w:r>
      <w:r>
        <w:t>тключения потребителей за долги.</w:t>
      </w:r>
      <w:r w:rsidRPr="00E96E61">
        <w:t xml:space="preserve"> </w:t>
      </w:r>
    </w:p>
    <w:p w:rsidR="00E24A24" w:rsidRDefault="00E24A24" w:rsidP="00E24A24">
      <w:pPr>
        <w:jc w:val="both"/>
      </w:pPr>
      <w:r w:rsidRPr="00E96E61">
        <w:t xml:space="preserve">  </w:t>
      </w:r>
    </w:p>
    <w:p w:rsidR="008D2D50" w:rsidRDefault="008D2D50" w:rsidP="00E24A24">
      <w:pPr>
        <w:jc w:val="both"/>
      </w:pPr>
    </w:p>
    <w:p w:rsidR="008D2D50" w:rsidRDefault="008D2D50" w:rsidP="008D2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D4C00">
        <w:rPr>
          <w:b/>
          <w:sz w:val="28"/>
          <w:szCs w:val="28"/>
        </w:rPr>
        <w:t>. Комплексное развитие систем водоснабжения и водоотведения.</w:t>
      </w:r>
    </w:p>
    <w:p w:rsidR="00863979" w:rsidRPr="00D107C4" w:rsidRDefault="00863979" w:rsidP="008D2D50">
      <w:pPr>
        <w:jc w:val="center"/>
        <w:rPr>
          <w:b/>
          <w:sz w:val="28"/>
          <w:szCs w:val="28"/>
        </w:rPr>
      </w:pPr>
    </w:p>
    <w:p w:rsidR="008D2D50" w:rsidRPr="00E96E61" w:rsidRDefault="008D2D50" w:rsidP="008D2D50">
      <w:pPr>
        <w:ind w:firstLine="540"/>
        <w:jc w:val="both"/>
      </w:pPr>
      <w:bookmarkStart w:id="12" w:name="_Toc232781430"/>
      <w:bookmarkStart w:id="13" w:name="_Toc225849021"/>
      <w:r w:rsidRPr="00863979">
        <w:t>4.1</w:t>
      </w:r>
      <w:r>
        <w:rPr>
          <w:b/>
        </w:rPr>
        <w:t xml:space="preserve">. </w:t>
      </w:r>
      <w:r w:rsidRPr="00E96E61">
        <w:t>В поселении отсу</w:t>
      </w:r>
      <w:r>
        <w:t>т</w:t>
      </w:r>
      <w:r w:rsidRPr="00E96E61">
        <w:t xml:space="preserve">ствует водопроводно-канализационное хозяйство. На территории </w:t>
      </w:r>
      <w:proofErr w:type="spellStart"/>
      <w:r w:rsidRPr="007C1E5E">
        <w:t>Новогригорьевского</w:t>
      </w:r>
      <w:proofErr w:type="spellEnd"/>
      <w:r w:rsidRPr="007C1E5E">
        <w:t xml:space="preserve"> сельского</w:t>
      </w:r>
      <w:r>
        <w:t xml:space="preserve"> </w:t>
      </w:r>
      <w:r w:rsidRPr="00E96E61">
        <w:t xml:space="preserve">поселения необходимо </w:t>
      </w:r>
      <w:r>
        <w:t>отремонтировать</w:t>
      </w:r>
      <w:r w:rsidRPr="00E96E61">
        <w:t xml:space="preserve"> систему водосн</w:t>
      </w:r>
      <w:r>
        <w:t>а</w:t>
      </w:r>
      <w:r w:rsidRPr="00E96E61">
        <w:t>бж</w:t>
      </w:r>
      <w:r w:rsidRPr="00E96E61">
        <w:t>е</w:t>
      </w:r>
      <w:r w:rsidRPr="00E96E61">
        <w:t>ния и в</w:t>
      </w:r>
      <w:r w:rsidRPr="00E96E61">
        <w:t>о</w:t>
      </w:r>
      <w:r w:rsidRPr="00E96E61">
        <w:t>доотведения.</w:t>
      </w:r>
    </w:p>
    <w:p w:rsidR="008D2D50" w:rsidRPr="00E96E61" w:rsidRDefault="008D2D50" w:rsidP="008D2D50">
      <w:pPr>
        <w:ind w:firstLine="540"/>
        <w:jc w:val="both"/>
      </w:pPr>
      <w:r w:rsidRPr="00E96E61">
        <w:t>Основными цел</w:t>
      </w:r>
      <w:bookmarkEnd w:id="12"/>
      <w:bookmarkEnd w:id="13"/>
      <w:r w:rsidRPr="00E96E61">
        <w:t>ями разработки мероприятий  по водоснабжению и водоотведению Пр</w:t>
      </w:r>
      <w:r w:rsidRPr="00E96E61">
        <w:t>о</w:t>
      </w:r>
      <w:r w:rsidRPr="00E96E61">
        <w:t xml:space="preserve">граммы комплексного развития систем коммунальной инфраструктуры </w:t>
      </w:r>
      <w:proofErr w:type="spellStart"/>
      <w:r>
        <w:t>Новогригорьевского</w:t>
      </w:r>
      <w:proofErr w:type="spellEnd"/>
      <w:r>
        <w:t xml:space="preserve"> сельского поселения</w:t>
      </w:r>
      <w:r w:rsidRPr="00E96E61">
        <w:t xml:space="preserve"> на период 201</w:t>
      </w:r>
      <w:r>
        <w:t>8</w:t>
      </w:r>
      <w:r w:rsidRPr="00E96E61">
        <w:t>-202</w:t>
      </w:r>
      <w:r>
        <w:t xml:space="preserve">8 </w:t>
      </w:r>
      <w:r w:rsidRPr="00E96E61">
        <w:t>гг. являются:</w:t>
      </w:r>
    </w:p>
    <w:p w:rsidR="008D2D50" w:rsidRPr="00E96E61" w:rsidRDefault="008D2D50" w:rsidP="008D2D50">
      <w:pPr>
        <w:ind w:firstLine="540"/>
        <w:jc w:val="both"/>
      </w:pPr>
      <w:r w:rsidRPr="00E96E61">
        <w:t>1. Обеспечение населения  качественной питьевой водой  в количестве, соответству</w:t>
      </w:r>
      <w:r w:rsidRPr="00E96E61">
        <w:t>ю</w:t>
      </w:r>
      <w:r w:rsidRPr="00E96E61">
        <w:t xml:space="preserve">щем нормам водопотребления, с качеством соответствующим </w:t>
      </w:r>
      <w:proofErr w:type="spellStart"/>
      <w:r w:rsidRPr="00E96E61">
        <w:t>СанПин</w:t>
      </w:r>
      <w:proofErr w:type="spellEnd"/>
      <w:r w:rsidRPr="00E96E61">
        <w:t xml:space="preserve"> по доступным ценам в инт</w:t>
      </w:r>
      <w:r w:rsidRPr="00E96E61">
        <w:t>е</w:t>
      </w:r>
      <w:r w:rsidRPr="00E96E61">
        <w:t xml:space="preserve">ресах удовлетворения жизненных потребностей и охраны здоровья населения </w:t>
      </w:r>
      <w:r>
        <w:t>поселения</w:t>
      </w:r>
      <w:r w:rsidRPr="00E96E61">
        <w:t xml:space="preserve">. </w:t>
      </w:r>
    </w:p>
    <w:p w:rsidR="008D2D50" w:rsidRPr="00E96E61" w:rsidRDefault="008D2D50" w:rsidP="008D2D50">
      <w:pPr>
        <w:ind w:firstLine="540"/>
        <w:jc w:val="both"/>
      </w:pPr>
      <w:r w:rsidRPr="00E96E61">
        <w:t>2.Рациональное использование водных ресурсов.</w:t>
      </w:r>
    </w:p>
    <w:p w:rsidR="008D2D50" w:rsidRPr="00E96E61" w:rsidRDefault="008D2D50" w:rsidP="008D2D50">
      <w:pPr>
        <w:ind w:firstLine="540"/>
        <w:jc w:val="both"/>
      </w:pPr>
      <w:r w:rsidRPr="00E96E61">
        <w:t xml:space="preserve">3.Защита природной воды от попадания в нее загрязняющих веществ. </w:t>
      </w:r>
    </w:p>
    <w:p w:rsidR="008D2D50" w:rsidRDefault="008D2D50" w:rsidP="008D2D50">
      <w:pPr>
        <w:ind w:firstLine="540"/>
        <w:jc w:val="both"/>
      </w:pPr>
      <w:r w:rsidRPr="00863979">
        <w:t>4.2</w:t>
      </w:r>
      <w:r>
        <w:rPr>
          <w:b/>
        </w:rPr>
        <w:t xml:space="preserve">. </w:t>
      </w:r>
      <w:r w:rsidRPr="00E96E61">
        <w:t>Цели Программы будут достигнуты в результате реализации комплекса инвестиц</w:t>
      </w:r>
      <w:r w:rsidRPr="00E96E61">
        <w:t>и</w:t>
      </w:r>
      <w:r w:rsidRPr="00E96E61">
        <w:t>онных и организационно-управленческих мероприятий, связанных с реконструкцией, моде</w:t>
      </w:r>
      <w:r w:rsidRPr="00E96E61">
        <w:t>р</w:t>
      </w:r>
      <w:r w:rsidRPr="00E96E61">
        <w:t>низацией, строительством объектов водопроводно-канализационного хозяйства (ВКХ), обе</w:t>
      </w:r>
      <w:r w:rsidRPr="00E96E61">
        <w:t>с</w:t>
      </w:r>
      <w:r w:rsidRPr="00E96E61">
        <w:t>печением финансовой устойчивости предприятий, оказывающих услуги ВКХ, разработкой, развитием и з</w:t>
      </w:r>
      <w:r w:rsidRPr="00E96E61">
        <w:t>а</w:t>
      </w:r>
      <w:r w:rsidRPr="00E96E61">
        <w:t xml:space="preserve">щитой источников водоснабжения, совершенствованием нормативной базы. </w:t>
      </w:r>
    </w:p>
    <w:p w:rsidR="008D2D50" w:rsidRPr="00E96E61" w:rsidRDefault="008D2D50" w:rsidP="008D2D50">
      <w:pPr>
        <w:ind w:firstLine="540"/>
        <w:jc w:val="both"/>
      </w:pPr>
      <w:r w:rsidRPr="00E96E61">
        <w:t xml:space="preserve">Услуга «Водоснабжение и водоотведение» должна быть предоставлена всем жителям </w:t>
      </w:r>
      <w:r>
        <w:t xml:space="preserve">поселения </w:t>
      </w:r>
      <w:r w:rsidRPr="00E96E61">
        <w:t xml:space="preserve"> в соответствии с нормативными требованиями к качеству и объему услуги.</w:t>
      </w:r>
    </w:p>
    <w:p w:rsidR="008D2D50" w:rsidRDefault="008D2D50" w:rsidP="008D2D50">
      <w:pPr>
        <w:ind w:firstLine="540"/>
        <w:jc w:val="both"/>
      </w:pPr>
      <w:r w:rsidRPr="00E96E61">
        <w:t xml:space="preserve">Питьевая вода, доведенная до нормативных требований по качеству </w:t>
      </w:r>
      <w:r>
        <w:t xml:space="preserve"> </w:t>
      </w:r>
      <w:r w:rsidRPr="00E96E61">
        <w:t>должна до</w:t>
      </w:r>
      <w:r>
        <w:t>й</w:t>
      </w:r>
      <w:r w:rsidRPr="00E96E61">
        <w:t xml:space="preserve">ти до потребителя через капитально отремонтированные или санированные водопроводные сети без ухудшения качества. </w:t>
      </w:r>
    </w:p>
    <w:p w:rsidR="008D2D50" w:rsidRPr="00E96E61" w:rsidRDefault="008D2D50" w:rsidP="008D2D50">
      <w:pPr>
        <w:ind w:firstLine="540"/>
        <w:jc w:val="both"/>
      </w:pPr>
    </w:p>
    <w:p w:rsidR="008D2D50" w:rsidRDefault="008D2D50" w:rsidP="008D2D50">
      <w:pPr>
        <w:ind w:firstLine="540"/>
        <w:jc w:val="both"/>
        <w:sectPr w:rsidR="008D2D50" w:rsidSect="00160916">
          <w:pgSz w:w="11906" w:h="16838"/>
          <w:pgMar w:top="719" w:right="926" w:bottom="719" w:left="1260" w:header="709" w:footer="709" w:gutter="0"/>
          <w:cols w:space="720"/>
        </w:sectPr>
      </w:pPr>
    </w:p>
    <w:p w:rsidR="008D2D50" w:rsidRDefault="008D2D50" w:rsidP="008D2D50">
      <w:pPr>
        <w:ind w:firstLine="540"/>
        <w:jc w:val="right"/>
      </w:pPr>
      <w:r>
        <w:lastRenderedPageBreak/>
        <w:t>Таблица 3</w:t>
      </w:r>
    </w:p>
    <w:p w:rsidR="008D2D50" w:rsidRDefault="008D2D50" w:rsidP="008D2D50">
      <w:pPr>
        <w:ind w:firstLine="540"/>
        <w:jc w:val="center"/>
      </w:pPr>
      <w:r w:rsidRPr="00D107C4">
        <w:t>Технико-экономические показатели объектов водоснабжения</w:t>
      </w:r>
      <w:r>
        <w:t xml:space="preserve"> в </w:t>
      </w:r>
      <w:proofErr w:type="spellStart"/>
      <w:r>
        <w:t>Новогригорьевском</w:t>
      </w:r>
      <w:proofErr w:type="spellEnd"/>
      <w:r>
        <w:t xml:space="preserve"> сельском поселении</w:t>
      </w:r>
    </w:p>
    <w:p w:rsidR="008D2D50" w:rsidRPr="00D107C4" w:rsidRDefault="008D2D50" w:rsidP="008D2D50">
      <w:pPr>
        <w:ind w:firstLine="540"/>
        <w:jc w:val="center"/>
      </w:pPr>
    </w:p>
    <w:tbl>
      <w:tblPr>
        <w:tblW w:w="15695" w:type="dxa"/>
        <w:jc w:val="right"/>
        <w:tblLook w:val="04A0" w:firstRow="1" w:lastRow="0" w:firstColumn="1" w:lastColumn="0" w:noHBand="0" w:noVBand="1"/>
      </w:tblPr>
      <w:tblGrid>
        <w:gridCol w:w="704"/>
        <w:gridCol w:w="3804"/>
        <w:gridCol w:w="1016"/>
        <w:gridCol w:w="1133"/>
        <w:gridCol w:w="1596"/>
        <w:gridCol w:w="1531"/>
        <w:gridCol w:w="5911"/>
      </w:tblGrid>
      <w:tr w:rsidR="008D2D50" w:rsidTr="008D2D50">
        <w:trPr>
          <w:trHeight w:val="90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имущества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Ед.изм</w:t>
            </w:r>
            <w:proofErr w:type="spellEnd"/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Балансовая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Остаточная стоимость, руб.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Техническая информация об объекте</w:t>
            </w:r>
          </w:p>
        </w:tc>
      </w:tr>
      <w:tr w:rsidR="008D2D50" w:rsidTr="008D2D50">
        <w:trPr>
          <w:trHeight w:val="795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Скважина № 03449: Волгогра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ская область, </w:t>
            </w:r>
            <w:proofErr w:type="spellStart"/>
            <w:r>
              <w:rPr>
                <w:rFonts w:eastAsia="Calibri"/>
                <w:lang w:eastAsia="en-US"/>
              </w:rPr>
              <w:t>Иловли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Новогригорьевская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57062,0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8D2D50">
                <w:rPr>
                  <w:rFonts w:eastAsia="Calibri"/>
                  <w:lang w:eastAsia="en-US"/>
                </w:rPr>
                <w:t>68 м</w:t>
              </w:r>
            </w:smartTag>
            <w:r w:rsidRPr="008D2D50">
              <w:rPr>
                <w:rFonts w:eastAsia="Calibri"/>
                <w:lang w:eastAsia="en-US"/>
              </w:rPr>
              <w:t xml:space="preserve">, год ввода в эксплуатацию –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D2D50">
                <w:rPr>
                  <w:rFonts w:eastAsia="Calibri"/>
                  <w:lang w:eastAsia="en-US"/>
                </w:rPr>
                <w:t>1988 г</w:t>
              </w:r>
            </w:smartTag>
            <w:r w:rsidRPr="008D2D50">
              <w:rPr>
                <w:rFonts w:eastAsia="Calibri"/>
                <w:lang w:eastAsia="en-US"/>
              </w:rPr>
              <w:t>., с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стояние: действующая,  назначение: 10.1 гидротехн</w:t>
            </w:r>
            <w:r w:rsidRPr="008D2D50">
              <w:rPr>
                <w:rFonts w:eastAsia="Calibri"/>
                <w:lang w:eastAsia="en-US"/>
              </w:rPr>
              <w:t>и</w:t>
            </w:r>
            <w:r w:rsidRPr="008D2D50">
              <w:rPr>
                <w:rFonts w:eastAsia="Calibri"/>
                <w:lang w:eastAsia="en-US"/>
              </w:rPr>
              <w:t>ческое, кадастровый номер 34:08:060102:726</w:t>
            </w:r>
          </w:p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8D2D50" w:rsidTr="008D2D50">
        <w:trPr>
          <w:trHeight w:val="795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Скважина № 1452: Волгогра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ская область, </w:t>
            </w:r>
            <w:proofErr w:type="spellStart"/>
            <w:r>
              <w:rPr>
                <w:rFonts w:eastAsia="Calibri"/>
                <w:lang w:eastAsia="en-US"/>
              </w:rPr>
              <w:t>Иловли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Новогригорьевская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41585,00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8D2D50">
                <w:rPr>
                  <w:rFonts w:eastAsia="Calibri"/>
                  <w:lang w:eastAsia="en-US"/>
                </w:rPr>
                <w:t>33 м</w:t>
              </w:r>
            </w:smartTag>
            <w:r w:rsidRPr="008D2D50">
              <w:rPr>
                <w:rFonts w:eastAsia="Calibri"/>
                <w:lang w:eastAsia="en-US"/>
              </w:rPr>
              <w:t xml:space="preserve">, год ввода в эксплуатацию –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8D2D50">
                <w:rPr>
                  <w:rFonts w:eastAsia="Calibri"/>
                  <w:lang w:eastAsia="en-US"/>
                </w:rPr>
                <w:t>1964 г</w:t>
              </w:r>
            </w:smartTag>
            <w:r w:rsidRPr="008D2D50">
              <w:rPr>
                <w:rFonts w:eastAsia="Calibri"/>
                <w:lang w:eastAsia="en-US"/>
              </w:rPr>
              <w:t>., с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стояние: действующая,  назначение: 10.1 гидротехн</w:t>
            </w:r>
            <w:r w:rsidRPr="008D2D50">
              <w:rPr>
                <w:rFonts w:eastAsia="Calibri"/>
                <w:lang w:eastAsia="en-US"/>
              </w:rPr>
              <w:t>и</w:t>
            </w:r>
            <w:r w:rsidRPr="008D2D50">
              <w:rPr>
                <w:rFonts w:eastAsia="Calibri"/>
                <w:lang w:eastAsia="en-US"/>
              </w:rPr>
              <w:t>ческое, кадастровый номер 34:08:060102:729</w:t>
            </w:r>
          </w:p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8D2D50" w:rsidTr="008D2D50">
        <w:trPr>
          <w:trHeight w:val="795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Скважина № 1471: Волгогра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ская область, </w:t>
            </w:r>
            <w:proofErr w:type="spellStart"/>
            <w:r>
              <w:rPr>
                <w:rFonts w:eastAsia="Calibri"/>
                <w:lang w:eastAsia="en-US"/>
              </w:rPr>
              <w:t>Иловли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Новогригорьевская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41585,00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D2D50">
                <w:rPr>
                  <w:rFonts w:eastAsia="Calibri"/>
                  <w:lang w:eastAsia="en-US"/>
                </w:rPr>
                <w:t>40 м</w:t>
              </w:r>
            </w:smartTag>
            <w:r w:rsidRPr="008D2D50">
              <w:rPr>
                <w:rFonts w:eastAsia="Calibri"/>
                <w:lang w:eastAsia="en-US"/>
              </w:rPr>
              <w:t xml:space="preserve">, год ввода в эксплуатацию –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8D2D50">
                <w:rPr>
                  <w:rFonts w:eastAsia="Calibri"/>
                  <w:lang w:eastAsia="en-US"/>
                </w:rPr>
                <w:t>1964 г</w:t>
              </w:r>
            </w:smartTag>
            <w:r w:rsidRPr="008D2D50">
              <w:rPr>
                <w:rFonts w:eastAsia="Calibri"/>
                <w:lang w:eastAsia="en-US"/>
              </w:rPr>
              <w:t>., с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стояние: действующая,  назначение: 10.1 гидротехн</w:t>
            </w:r>
            <w:r w:rsidRPr="008D2D50">
              <w:rPr>
                <w:rFonts w:eastAsia="Calibri"/>
                <w:lang w:eastAsia="en-US"/>
              </w:rPr>
              <w:t>и</w:t>
            </w:r>
            <w:r w:rsidRPr="008D2D50">
              <w:rPr>
                <w:rFonts w:eastAsia="Calibri"/>
                <w:lang w:eastAsia="en-US"/>
              </w:rPr>
              <w:t>ческое, кадастровый номер 34:08:060102:730</w:t>
            </w:r>
          </w:p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8D2D50" w:rsidTr="008D2D50">
        <w:trPr>
          <w:trHeight w:val="472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Скважина № 3089: Волгогра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ская область, </w:t>
            </w:r>
            <w:proofErr w:type="spellStart"/>
            <w:r>
              <w:rPr>
                <w:rFonts w:eastAsia="Calibri"/>
                <w:lang w:eastAsia="en-US"/>
              </w:rPr>
              <w:t>Иловли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Старогригорьевская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16006,00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8D2D50">
                <w:rPr>
                  <w:rFonts w:eastAsia="Calibri"/>
                  <w:lang w:eastAsia="en-US"/>
                </w:rPr>
                <w:t>28 м</w:t>
              </w:r>
            </w:smartTag>
            <w:r w:rsidRPr="008D2D50">
              <w:rPr>
                <w:rFonts w:eastAsia="Calibri"/>
                <w:lang w:eastAsia="en-US"/>
              </w:rPr>
              <w:t xml:space="preserve">, год ввода в эксплуатацию –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8D2D50">
                <w:rPr>
                  <w:rFonts w:eastAsia="Calibri"/>
                  <w:lang w:eastAsia="en-US"/>
                </w:rPr>
                <w:t>1969 г</w:t>
              </w:r>
            </w:smartTag>
            <w:r w:rsidRPr="008D2D50">
              <w:rPr>
                <w:rFonts w:eastAsia="Calibri"/>
                <w:lang w:eastAsia="en-US"/>
              </w:rPr>
              <w:t>., с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стояние: действующая,  назначение: 10.1 гидротехн</w:t>
            </w:r>
            <w:r w:rsidRPr="008D2D50">
              <w:rPr>
                <w:rFonts w:eastAsia="Calibri"/>
                <w:lang w:eastAsia="en-US"/>
              </w:rPr>
              <w:t>и</w:t>
            </w:r>
            <w:r w:rsidRPr="008D2D50">
              <w:rPr>
                <w:rFonts w:eastAsia="Calibri"/>
                <w:lang w:eastAsia="en-US"/>
              </w:rPr>
              <w:t>ческое, кадастровый номер 34:08:060103:241</w:t>
            </w:r>
          </w:p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8D2D50" w:rsidTr="008D2D50">
        <w:trPr>
          <w:trHeight w:val="89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Скважина № 06058: Волгогра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ская область, </w:t>
            </w:r>
            <w:proofErr w:type="spellStart"/>
            <w:r>
              <w:rPr>
                <w:rFonts w:eastAsia="Calibri"/>
                <w:lang w:eastAsia="en-US"/>
              </w:rPr>
              <w:t>Иловли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Новогригорьевская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36785,00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D2D50">
                <w:rPr>
                  <w:rFonts w:eastAsia="Calibri"/>
                  <w:lang w:eastAsia="en-US"/>
                </w:rPr>
                <w:t>80 м</w:t>
              </w:r>
            </w:smartTag>
            <w:r w:rsidRPr="008D2D50">
              <w:rPr>
                <w:rFonts w:eastAsia="Calibri"/>
                <w:lang w:eastAsia="en-US"/>
              </w:rPr>
              <w:t xml:space="preserve">, год ввода в эксплуатацию –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D2D50">
                <w:rPr>
                  <w:rFonts w:eastAsia="Calibri"/>
                  <w:lang w:eastAsia="en-US"/>
                </w:rPr>
                <w:t>1989 г</w:t>
              </w:r>
            </w:smartTag>
            <w:r w:rsidRPr="008D2D50">
              <w:rPr>
                <w:rFonts w:eastAsia="Calibri"/>
                <w:lang w:eastAsia="en-US"/>
              </w:rPr>
              <w:t>., с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стояние: действующая,  назначение: 10.1 гидротехн</w:t>
            </w:r>
            <w:r w:rsidRPr="008D2D50">
              <w:rPr>
                <w:rFonts w:eastAsia="Calibri"/>
                <w:lang w:eastAsia="en-US"/>
              </w:rPr>
              <w:t>и</w:t>
            </w:r>
            <w:r w:rsidRPr="008D2D50">
              <w:rPr>
                <w:rFonts w:eastAsia="Calibri"/>
                <w:lang w:eastAsia="en-US"/>
              </w:rPr>
              <w:t>ческое, кадастровый номер 34:08:060102:723</w:t>
            </w:r>
          </w:p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8D2D50" w:rsidTr="008D2D50">
        <w:trPr>
          <w:trHeight w:val="472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Башня водонапорная: Волгогра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ская область, </w:t>
            </w:r>
            <w:proofErr w:type="spellStart"/>
            <w:r>
              <w:rPr>
                <w:rFonts w:eastAsia="Calibri"/>
                <w:lang w:eastAsia="en-US"/>
              </w:rPr>
              <w:t>Иловли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Новогригорьевская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39328,00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>Объем сооружения: 31.00 куб.м.; год ввода в эксплу</w:t>
            </w:r>
            <w:r w:rsidRPr="008D2D50">
              <w:rPr>
                <w:rFonts w:eastAsia="Calibri"/>
                <w:lang w:eastAsia="en-US"/>
              </w:rPr>
              <w:t>а</w:t>
            </w:r>
            <w:r w:rsidRPr="008D2D50">
              <w:rPr>
                <w:rFonts w:eastAsia="Calibri"/>
                <w:lang w:eastAsia="en-US"/>
              </w:rPr>
              <w:t xml:space="preserve">тацию –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8D2D50">
                <w:rPr>
                  <w:rFonts w:eastAsia="Calibri"/>
                  <w:lang w:eastAsia="en-US"/>
                </w:rPr>
                <w:t>1980 г</w:t>
              </w:r>
            </w:smartTag>
            <w:r w:rsidRPr="008D2D50">
              <w:rPr>
                <w:rFonts w:eastAsia="Calibri"/>
                <w:lang w:eastAsia="en-US"/>
              </w:rPr>
              <w:t>., действующая, назначение: 10.1 гидр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техническое, кадастровый номер 34:08:060102:724</w:t>
            </w:r>
          </w:p>
        </w:tc>
      </w:tr>
      <w:tr w:rsidR="008D2D50" w:rsidTr="008D2D50">
        <w:trPr>
          <w:trHeight w:val="472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Башня водонапорная: Волгогра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ская область, </w:t>
            </w:r>
            <w:proofErr w:type="spellStart"/>
            <w:r>
              <w:rPr>
                <w:rFonts w:eastAsia="Calibri"/>
                <w:lang w:eastAsia="en-US"/>
              </w:rPr>
              <w:t>Иловли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Старогригорьевская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33710,00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>Объем сооружения: 24.00 куб.м.; год ввода в эксплу</w:t>
            </w:r>
            <w:r w:rsidRPr="008D2D50">
              <w:rPr>
                <w:rFonts w:eastAsia="Calibri"/>
                <w:lang w:eastAsia="en-US"/>
              </w:rPr>
              <w:t>а</w:t>
            </w:r>
            <w:r w:rsidRPr="008D2D50">
              <w:rPr>
                <w:rFonts w:eastAsia="Calibri"/>
                <w:lang w:eastAsia="en-US"/>
              </w:rPr>
              <w:t xml:space="preserve">тацию –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8D2D50">
                <w:rPr>
                  <w:rFonts w:eastAsia="Calibri"/>
                  <w:lang w:eastAsia="en-US"/>
                </w:rPr>
                <w:t>1978 г</w:t>
              </w:r>
            </w:smartTag>
            <w:r w:rsidRPr="008D2D50">
              <w:rPr>
                <w:rFonts w:eastAsia="Calibri"/>
                <w:lang w:eastAsia="en-US"/>
              </w:rPr>
              <w:t>., действующая, назначение: 10.1 гидр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техническое, кадастровый номер 34:08:060103:239</w:t>
            </w:r>
          </w:p>
        </w:tc>
      </w:tr>
      <w:tr w:rsidR="008D2D50" w:rsidTr="008D2D50">
        <w:trPr>
          <w:trHeight w:val="472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Водопровод: Волгоградская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 xml:space="preserve">ласть, </w:t>
            </w:r>
            <w:proofErr w:type="spellStart"/>
            <w:r>
              <w:rPr>
                <w:rFonts w:eastAsia="Calibri"/>
                <w:lang w:eastAsia="en-US"/>
              </w:rPr>
              <w:t>Иловлинский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Новогригорьевская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828518,00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566888,05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год ввода в эксплуатацию –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D2D50">
                <w:rPr>
                  <w:rFonts w:eastAsia="Calibri"/>
                  <w:lang w:eastAsia="en-US"/>
                </w:rPr>
                <w:t>1985 г</w:t>
              </w:r>
            </w:smartTag>
            <w:r w:rsidRPr="008D2D50">
              <w:rPr>
                <w:rFonts w:eastAsia="Calibri"/>
                <w:lang w:eastAsia="en-US"/>
              </w:rPr>
              <w:t>., состояние: дейс</w:t>
            </w:r>
            <w:r w:rsidRPr="008D2D50">
              <w:rPr>
                <w:rFonts w:eastAsia="Calibri"/>
                <w:lang w:eastAsia="en-US"/>
              </w:rPr>
              <w:t>т</w:t>
            </w:r>
            <w:r w:rsidRPr="008D2D50">
              <w:rPr>
                <w:rFonts w:eastAsia="Calibri"/>
                <w:lang w:eastAsia="en-US"/>
              </w:rPr>
              <w:t>вующие; материал труб: асбестоцемент, глубина з</w:t>
            </w:r>
            <w:r w:rsidRPr="008D2D50">
              <w:rPr>
                <w:rFonts w:eastAsia="Calibri"/>
                <w:lang w:eastAsia="en-US"/>
              </w:rPr>
              <w:t>а</w:t>
            </w:r>
            <w:r w:rsidRPr="008D2D50">
              <w:rPr>
                <w:rFonts w:eastAsia="Calibri"/>
                <w:lang w:eastAsia="en-US"/>
              </w:rPr>
              <w:t xml:space="preserve">кладки: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D2D50">
                <w:rPr>
                  <w:rFonts w:eastAsia="Calibri"/>
                  <w:lang w:eastAsia="en-US"/>
                </w:rPr>
                <w:t>1,8 м</w:t>
              </w:r>
            </w:smartTag>
            <w:r w:rsidRPr="008D2D50">
              <w:rPr>
                <w:rFonts w:eastAsia="Calibri"/>
                <w:lang w:eastAsia="en-US"/>
              </w:rPr>
              <w:t>,</w:t>
            </w:r>
          </w:p>
          <w:p w:rsidR="008D2D50" w:rsidRPr="008D2D50" w:rsidRDefault="008D2D50" w:rsidP="00871AC8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>назначение: 10.1 гидротехническое, кадастровый н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 xml:space="preserve">мер: 34:08:060102:722 </w:t>
            </w:r>
          </w:p>
        </w:tc>
      </w:tr>
      <w:tr w:rsidR="008D2D50" w:rsidTr="008D2D50">
        <w:trPr>
          <w:trHeight w:val="472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Водопровод: Волгоградская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 xml:space="preserve">ласть, </w:t>
            </w:r>
            <w:proofErr w:type="spellStart"/>
            <w:r>
              <w:rPr>
                <w:rFonts w:eastAsia="Calibri"/>
                <w:lang w:eastAsia="en-US"/>
              </w:rPr>
              <w:t>Иловлинский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Новогригорьевская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599290,00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389236,53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год ввода в эксплуатацию –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8D2D50">
                <w:rPr>
                  <w:rFonts w:eastAsia="Calibri"/>
                  <w:lang w:eastAsia="en-US"/>
                </w:rPr>
                <w:t>1962 г</w:t>
              </w:r>
            </w:smartTag>
            <w:r w:rsidRPr="008D2D50">
              <w:rPr>
                <w:rFonts w:eastAsia="Calibri"/>
                <w:lang w:eastAsia="en-US"/>
              </w:rPr>
              <w:t>., состояние: дейс</w:t>
            </w:r>
            <w:r w:rsidRPr="008D2D50">
              <w:rPr>
                <w:rFonts w:eastAsia="Calibri"/>
                <w:lang w:eastAsia="en-US"/>
              </w:rPr>
              <w:t>т</w:t>
            </w:r>
            <w:r w:rsidRPr="008D2D50">
              <w:rPr>
                <w:rFonts w:eastAsia="Calibri"/>
                <w:lang w:eastAsia="en-US"/>
              </w:rPr>
              <w:t>вующие; материал труб: асбестоцемент, глубина з</w:t>
            </w:r>
            <w:r w:rsidRPr="008D2D50">
              <w:rPr>
                <w:rFonts w:eastAsia="Calibri"/>
                <w:lang w:eastAsia="en-US"/>
              </w:rPr>
              <w:t>а</w:t>
            </w:r>
            <w:r w:rsidRPr="008D2D50">
              <w:rPr>
                <w:rFonts w:eastAsia="Calibri"/>
                <w:lang w:eastAsia="en-US"/>
              </w:rPr>
              <w:t xml:space="preserve">кладки: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D2D50">
                <w:rPr>
                  <w:rFonts w:eastAsia="Calibri"/>
                  <w:lang w:eastAsia="en-US"/>
                </w:rPr>
                <w:t>2 м</w:t>
              </w:r>
            </w:smartTag>
            <w:r w:rsidRPr="008D2D50">
              <w:rPr>
                <w:rFonts w:eastAsia="Calibri"/>
                <w:lang w:eastAsia="en-US"/>
              </w:rPr>
              <w:t>,</w:t>
            </w:r>
          </w:p>
          <w:p w:rsidR="008D2D50" w:rsidRPr="008D2D50" w:rsidRDefault="008D2D50" w:rsidP="00871AC8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>назначение: 10.1 гидротехническое, кадастровый н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мер: 34:08:060102:725</w:t>
            </w:r>
          </w:p>
        </w:tc>
      </w:tr>
      <w:tr w:rsidR="008D2D50" w:rsidTr="008D2D50">
        <w:trPr>
          <w:trHeight w:val="472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Водопровод: Волгоградская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 xml:space="preserve">ласть, </w:t>
            </w:r>
            <w:proofErr w:type="spellStart"/>
            <w:r>
              <w:rPr>
                <w:rFonts w:eastAsia="Calibri"/>
                <w:lang w:eastAsia="en-US"/>
              </w:rPr>
              <w:t>Иловлинский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ст-ца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Старогригорьевская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579853,00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Default="008D2D50" w:rsidP="00871AC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239309,73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50" w:rsidRPr="008D2D50" w:rsidRDefault="008D2D50" w:rsidP="00871AC8">
            <w:pPr>
              <w:spacing w:line="254" w:lineRule="auto"/>
              <w:rPr>
                <w:rFonts w:eastAsia="Calibri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 xml:space="preserve">год ввода в эксплуатацию –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8D2D50">
                <w:rPr>
                  <w:rFonts w:eastAsia="Calibri"/>
                  <w:lang w:eastAsia="en-US"/>
                </w:rPr>
                <w:t>1962 г</w:t>
              </w:r>
            </w:smartTag>
            <w:r w:rsidRPr="008D2D50">
              <w:rPr>
                <w:rFonts w:eastAsia="Calibri"/>
                <w:lang w:eastAsia="en-US"/>
              </w:rPr>
              <w:t>., состояние: дейс</w:t>
            </w:r>
            <w:r w:rsidRPr="008D2D50">
              <w:rPr>
                <w:rFonts w:eastAsia="Calibri"/>
                <w:lang w:eastAsia="en-US"/>
              </w:rPr>
              <w:t>т</w:t>
            </w:r>
            <w:r w:rsidRPr="008D2D50">
              <w:rPr>
                <w:rFonts w:eastAsia="Calibri"/>
                <w:lang w:eastAsia="en-US"/>
              </w:rPr>
              <w:t>вующие; материал труб: асбестоцемент, глубина з</w:t>
            </w:r>
            <w:r w:rsidRPr="008D2D50">
              <w:rPr>
                <w:rFonts w:eastAsia="Calibri"/>
                <w:lang w:eastAsia="en-US"/>
              </w:rPr>
              <w:t>а</w:t>
            </w:r>
            <w:r w:rsidRPr="008D2D50">
              <w:rPr>
                <w:rFonts w:eastAsia="Calibri"/>
                <w:lang w:eastAsia="en-US"/>
              </w:rPr>
              <w:t xml:space="preserve">кладки: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D2D50">
                <w:rPr>
                  <w:rFonts w:eastAsia="Calibri"/>
                  <w:lang w:eastAsia="en-US"/>
                </w:rPr>
                <w:t>2 м</w:t>
              </w:r>
            </w:smartTag>
            <w:r w:rsidRPr="008D2D50">
              <w:rPr>
                <w:rFonts w:eastAsia="Calibri"/>
                <w:lang w:eastAsia="en-US"/>
              </w:rPr>
              <w:t>,</w:t>
            </w:r>
          </w:p>
          <w:p w:rsidR="008D2D50" w:rsidRDefault="008D2D50" w:rsidP="00871AC8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D50">
              <w:rPr>
                <w:rFonts w:eastAsia="Calibri"/>
                <w:lang w:eastAsia="en-US"/>
              </w:rPr>
              <w:t>назначение: 10.1 гидротехническое, кадастровый н</w:t>
            </w:r>
            <w:r w:rsidRPr="008D2D50">
              <w:rPr>
                <w:rFonts w:eastAsia="Calibri"/>
                <w:lang w:eastAsia="en-US"/>
              </w:rPr>
              <w:t>о</w:t>
            </w:r>
            <w:r w:rsidRPr="008D2D50">
              <w:rPr>
                <w:rFonts w:eastAsia="Calibri"/>
                <w:lang w:eastAsia="en-US"/>
              </w:rPr>
              <w:t>мер: 34:08:060103:240</w:t>
            </w:r>
          </w:p>
        </w:tc>
      </w:tr>
    </w:tbl>
    <w:p w:rsidR="008D2D50" w:rsidRDefault="008D2D50" w:rsidP="008D2D50">
      <w:pPr>
        <w:ind w:firstLine="540"/>
        <w:jc w:val="both"/>
        <w:sectPr w:rsidR="008D2D50" w:rsidSect="00D107C4">
          <w:pgSz w:w="16838" w:h="11906" w:orient="landscape"/>
          <w:pgMar w:top="1259" w:right="720" w:bottom="924" w:left="720" w:header="709" w:footer="709" w:gutter="0"/>
          <w:cols w:space="720"/>
        </w:sectPr>
      </w:pPr>
    </w:p>
    <w:p w:rsidR="008D2D50" w:rsidRDefault="008D2D50" w:rsidP="008D2D50">
      <w:pPr>
        <w:ind w:firstLine="540"/>
        <w:jc w:val="right"/>
      </w:pPr>
      <w:r>
        <w:lastRenderedPageBreak/>
        <w:t xml:space="preserve">Таблица 4 </w:t>
      </w:r>
    </w:p>
    <w:p w:rsidR="008D2D50" w:rsidRPr="007C1E5E" w:rsidRDefault="008D2D50" w:rsidP="008D2D50">
      <w:pPr>
        <w:ind w:firstLine="540"/>
        <w:jc w:val="center"/>
      </w:pPr>
      <w:r w:rsidRPr="007C1E5E">
        <w:t>Д</w:t>
      </w:r>
      <w:r w:rsidRPr="007C1E5E">
        <w:rPr>
          <w:lang w:val="de-DE"/>
        </w:rPr>
        <w:t>олгосрочные параметры регулирования деятельности</w:t>
      </w:r>
      <w:r>
        <w:t xml:space="preserve"> МУП «</w:t>
      </w:r>
      <w:proofErr w:type="spellStart"/>
      <w:r>
        <w:t>Новогригорьевское</w:t>
      </w:r>
      <w:proofErr w:type="spellEnd"/>
      <w:r>
        <w:t xml:space="preserve"> ЖКХ»</w:t>
      </w:r>
    </w:p>
    <w:p w:rsidR="008D2D50" w:rsidRPr="00E96E61" w:rsidRDefault="008D2D50" w:rsidP="008D2D50">
      <w:pPr>
        <w:jc w:val="both"/>
      </w:pPr>
      <w:r w:rsidRPr="00E96E61">
        <w:tab/>
      </w:r>
      <w:r w:rsidRPr="00E96E61">
        <w:tab/>
      </w:r>
      <w:r w:rsidRPr="00E96E61">
        <w:tab/>
      </w:r>
      <w:r w:rsidRPr="00E96E61">
        <w:tab/>
      </w:r>
      <w:r w:rsidRPr="00E96E61">
        <w:tab/>
      </w:r>
      <w:r w:rsidRPr="00E96E61">
        <w:tab/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88"/>
        <w:gridCol w:w="1058"/>
        <w:gridCol w:w="1212"/>
        <w:gridCol w:w="1056"/>
        <w:gridCol w:w="1054"/>
        <w:gridCol w:w="996"/>
        <w:gridCol w:w="996"/>
        <w:gridCol w:w="996"/>
        <w:gridCol w:w="996"/>
        <w:gridCol w:w="996"/>
        <w:gridCol w:w="996"/>
        <w:gridCol w:w="996"/>
      </w:tblGrid>
      <w:tr w:rsidR="008D2D50" w:rsidRPr="007C1E5E" w:rsidTr="00871AC8">
        <w:trPr>
          <w:trHeight w:val="27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48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rPr>
                <w:lang w:val="de-DE"/>
              </w:rPr>
              <w:t xml:space="preserve"> </w:t>
            </w:r>
          </w:p>
        </w:tc>
      </w:tr>
      <w:tr w:rsidR="008D2D50" w:rsidRPr="007C1E5E" w:rsidTr="00871AC8">
        <w:trPr>
          <w:trHeight w:val="27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1.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Максимальный базовый уровень операционных расходов (холо</w:t>
            </w:r>
            <w:r w:rsidRPr="007C1E5E">
              <w:t>д</w:t>
            </w:r>
            <w:r w:rsidRPr="007C1E5E">
              <w:t>ное водоснабжение)</w:t>
            </w:r>
          </w:p>
          <w:p w:rsidR="008D2D50" w:rsidRPr="007C1E5E" w:rsidRDefault="008D2D50" w:rsidP="00871AC8">
            <w:pPr>
              <w:jc w:val="both"/>
            </w:pPr>
            <w:r w:rsidRPr="007C1E5E">
              <w:t>(в ценах 201</w:t>
            </w:r>
            <w:r w:rsidRPr="007C1E5E">
              <w:rPr>
                <w:lang w:val="en-US"/>
              </w:rPr>
              <w:t>7</w:t>
            </w:r>
            <w:r w:rsidRPr="007C1E5E">
              <w:t xml:space="preserve"> года)*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тыс.</w:t>
            </w:r>
          </w:p>
          <w:p w:rsidR="008D2D50" w:rsidRPr="007C1E5E" w:rsidRDefault="008D2D50" w:rsidP="00871AC8">
            <w:pPr>
              <w:jc w:val="both"/>
            </w:pPr>
            <w:r w:rsidRPr="007C1E5E">
              <w:t>руб.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rPr>
                <w:b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  <w:bCs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  <w:bCs/>
              </w:rPr>
              <w:t>2024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  <w:bCs/>
              </w:rPr>
              <w:t>2025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  <w:bCs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2027</w:t>
            </w:r>
          </w:p>
        </w:tc>
      </w:tr>
      <w:tr w:rsidR="008D2D50" w:rsidRPr="007C1E5E" w:rsidTr="00871AC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rPr>
                <w:lang w:val="en-US"/>
              </w:rPr>
              <w:t>3082</w:t>
            </w:r>
            <w:r w:rsidRPr="007C1E5E">
              <w:t>,64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D50" w:rsidRPr="007C1E5E" w:rsidRDefault="008D2D50" w:rsidP="00871AC8">
            <w:pPr>
              <w:jc w:val="both"/>
            </w:pPr>
          </w:p>
          <w:p w:rsidR="008D2D50" w:rsidRPr="007C1E5E" w:rsidRDefault="008D2D50" w:rsidP="00871AC8">
            <w:pPr>
              <w:jc w:val="both"/>
            </w:pPr>
            <w:r w:rsidRPr="007C1E5E">
              <w:t>3195,66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3204,91</w:t>
            </w:r>
          </w:p>
        </w:tc>
      </w:tr>
      <w:tr w:rsidR="008D2D50" w:rsidRPr="007C1E5E" w:rsidTr="00871AC8">
        <w:trPr>
          <w:trHeight w:val="22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2.</w:t>
            </w:r>
          </w:p>
        </w:tc>
        <w:tc>
          <w:tcPr>
            <w:tcW w:w="48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Максимальные показатели энергосбережения и энергетической эффективности</w:t>
            </w:r>
          </w:p>
        </w:tc>
      </w:tr>
      <w:tr w:rsidR="008D2D50" w:rsidRPr="007C1E5E" w:rsidTr="00871AC8">
        <w:trPr>
          <w:trHeight w:val="22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2.1.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Потери энергоресурсов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Cs/>
              </w:rPr>
            </w:pPr>
            <w:r w:rsidRPr="007C1E5E">
              <w:rPr>
                <w:b/>
                <w:bCs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2027</w:t>
            </w:r>
          </w:p>
        </w:tc>
      </w:tr>
      <w:tr w:rsidR="008D2D50" w:rsidRPr="007C1E5E" w:rsidTr="00871AC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D50" w:rsidRPr="007C1E5E" w:rsidRDefault="008D2D50" w:rsidP="00871AC8">
            <w:pPr>
              <w:jc w:val="both"/>
            </w:pPr>
            <w:r w:rsidRPr="007C1E5E"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D50" w:rsidRPr="007C1E5E" w:rsidRDefault="008D2D50" w:rsidP="00871AC8">
            <w:pPr>
              <w:jc w:val="both"/>
            </w:pPr>
            <w:r w:rsidRPr="007C1E5E">
              <w:t>9,5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D50" w:rsidRPr="007C1E5E" w:rsidRDefault="008D2D50" w:rsidP="00871AC8">
            <w:pPr>
              <w:jc w:val="both"/>
            </w:pPr>
            <w:r w:rsidRPr="007C1E5E">
              <w:t>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9,0</w:t>
            </w:r>
          </w:p>
        </w:tc>
      </w:tr>
      <w:tr w:rsidR="008D2D50" w:rsidRPr="007C1E5E" w:rsidTr="00871AC8">
        <w:trPr>
          <w:trHeight w:val="22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rPr>
                <w:bCs/>
              </w:rPr>
              <w:t>2.2.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Удельное потребление электр</w:t>
            </w:r>
            <w:r w:rsidRPr="007C1E5E">
              <w:t>о</w:t>
            </w:r>
            <w:r w:rsidRPr="007C1E5E">
              <w:t>энергии в расчете на единицу п</w:t>
            </w:r>
            <w:r w:rsidRPr="007C1E5E">
              <w:t>о</w:t>
            </w:r>
            <w:r w:rsidRPr="007C1E5E">
              <w:t>данной  в сеть воды (холодное водоснабжение)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proofErr w:type="spellStart"/>
            <w:r w:rsidRPr="007C1E5E">
              <w:t>кВт.час</w:t>
            </w:r>
            <w:proofErr w:type="spellEnd"/>
            <w:r w:rsidRPr="007C1E5E">
              <w:t>/</w:t>
            </w:r>
          </w:p>
          <w:p w:rsidR="008D2D50" w:rsidRPr="007C1E5E" w:rsidRDefault="008D2D50" w:rsidP="00871AC8">
            <w:pPr>
              <w:jc w:val="both"/>
            </w:pPr>
            <w:r w:rsidRPr="007C1E5E">
              <w:t>куб.м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Cs/>
              </w:rPr>
            </w:pPr>
            <w:r w:rsidRPr="007C1E5E">
              <w:rPr>
                <w:b/>
                <w:bCs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2027</w:t>
            </w: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</w:tc>
      </w:tr>
      <w:tr w:rsidR="008D2D50" w:rsidRPr="007C1E5E" w:rsidTr="00871AC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0,63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0,63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0,59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0,59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0,59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0,59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0,59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0,58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0,58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0,58</w:t>
            </w:r>
          </w:p>
        </w:tc>
      </w:tr>
      <w:tr w:rsidR="008D2D50" w:rsidRPr="007C1E5E" w:rsidTr="00871AC8">
        <w:trPr>
          <w:trHeight w:val="22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  <w:rPr>
                <w:bCs/>
              </w:rPr>
            </w:pPr>
            <w:r w:rsidRPr="007C1E5E">
              <w:rPr>
                <w:bCs/>
              </w:rPr>
              <w:t>2.3.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Максимальный нормативный уровень прибыли (холодное в</w:t>
            </w:r>
            <w:r w:rsidRPr="007C1E5E">
              <w:t>о</w:t>
            </w:r>
            <w:r w:rsidRPr="007C1E5E">
              <w:t>доснабжение)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rPr>
                <w:b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  <w:rPr>
                <w:b/>
              </w:rPr>
            </w:pPr>
            <w:r w:rsidRPr="007C1E5E">
              <w:rPr>
                <w:b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  <w:r w:rsidRPr="007C1E5E">
              <w:rPr>
                <w:b/>
                <w:bCs/>
              </w:rPr>
              <w:t>2027</w:t>
            </w:r>
          </w:p>
          <w:p w:rsidR="008D2D50" w:rsidRPr="007C1E5E" w:rsidRDefault="008D2D50" w:rsidP="00871AC8">
            <w:pPr>
              <w:jc w:val="both"/>
              <w:rPr>
                <w:b/>
                <w:bCs/>
              </w:rPr>
            </w:pPr>
          </w:p>
        </w:tc>
      </w:tr>
      <w:tr w:rsidR="008D2D50" w:rsidRPr="007C1E5E" w:rsidTr="00871AC8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7C1E5E" w:rsidRDefault="008D2D50" w:rsidP="00871AC8">
            <w:pPr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7C1E5E" w:rsidRDefault="008D2D50" w:rsidP="00871AC8">
            <w:pPr>
              <w:jc w:val="both"/>
            </w:pPr>
            <w:r w:rsidRPr="007C1E5E"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0" w:rsidRPr="007C1E5E" w:rsidRDefault="008D2D50" w:rsidP="00871AC8">
            <w:pPr>
              <w:jc w:val="both"/>
            </w:pPr>
            <w:r w:rsidRPr="007C1E5E">
              <w:t>1,0</w:t>
            </w:r>
          </w:p>
        </w:tc>
      </w:tr>
    </w:tbl>
    <w:p w:rsidR="008D2D50" w:rsidRPr="00E96E61" w:rsidRDefault="008D2D50" w:rsidP="008D2D50">
      <w:pPr>
        <w:jc w:val="both"/>
        <w:sectPr w:rsidR="008D2D50" w:rsidRPr="00E96E61" w:rsidSect="007C1E5E">
          <w:pgSz w:w="16838" w:h="11906" w:orient="landscape"/>
          <w:pgMar w:top="1260" w:right="719" w:bottom="926" w:left="719" w:header="709" w:footer="709" w:gutter="0"/>
          <w:cols w:space="720"/>
          <w:docGrid w:linePitch="326"/>
        </w:sectPr>
      </w:pPr>
    </w:p>
    <w:p w:rsidR="008D2D50" w:rsidRDefault="008D2D50" w:rsidP="008D2D50">
      <w:pPr>
        <w:rPr>
          <w:b/>
          <w:sz w:val="28"/>
          <w:szCs w:val="28"/>
        </w:rPr>
      </w:pPr>
    </w:p>
    <w:p w:rsidR="008D2D50" w:rsidRDefault="008D2D50" w:rsidP="008D2D50">
      <w:pPr>
        <w:rPr>
          <w:b/>
          <w:sz w:val="28"/>
          <w:szCs w:val="28"/>
        </w:rPr>
      </w:pPr>
    </w:p>
    <w:p w:rsidR="008D2D50" w:rsidRPr="00E24A24" w:rsidRDefault="008D2D50" w:rsidP="008D2D50">
      <w:pPr>
        <w:jc w:val="center"/>
        <w:rPr>
          <w:b/>
          <w:sz w:val="28"/>
          <w:szCs w:val="28"/>
        </w:rPr>
      </w:pPr>
      <w:r w:rsidRPr="00E24A24">
        <w:rPr>
          <w:b/>
          <w:sz w:val="28"/>
          <w:szCs w:val="28"/>
        </w:rPr>
        <w:t>5. Обоснование требований к системе газоснабжения установленным стандартом качес</w:t>
      </w:r>
      <w:r w:rsidRPr="00E24A24">
        <w:rPr>
          <w:b/>
          <w:sz w:val="28"/>
          <w:szCs w:val="28"/>
        </w:rPr>
        <w:t>т</w:t>
      </w:r>
      <w:r w:rsidRPr="00E24A24">
        <w:rPr>
          <w:b/>
          <w:sz w:val="28"/>
          <w:szCs w:val="28"/>
        </w:rPr>
        <w:t>ва.</w:t>
      </w:r>
    </w:p>
    <w:p w:rsidR="008D2D50" w:rsidRPr="00E96E61" w:rsidRDefault="008D2D50" w:rsidP="008D2D50"/>
    <w:p w:rsidR="008D2D50" w:rsidRPr="00E96E61" w:rsidRDefault="008D2D50" w:rsidP="008D2D50">
      <w:pPr>
        <w:ind w:firstLine="540"/>
      </w:pPr>
      <w:r w:rsidRPr="00E96E61">
        <w:t>Данный стандарт определяет критерии качества услуги «Газоснабжение», достижение которого определяется выполнением мероприятий Пр</w:t>
      </w:r>
      <w:r w:rsidRPr="00E96E61">
        <w:t>о</w:t>
      </w:r>
      <w:r w:rsidRPr="00E96E61">
        <w:t xml:space="preserve">граммы комплексного развития систем коммунальной инфраструктуры </w:t>
      </w:r>
      <w:r>
        <w:t xml:space="preserve">поселения </w:t>
      </w:r>
      <w:r w:rsidRPr="00E96E61">
        <w:t xml:space="preserve"> период 201</w:t>
      </w:r>
      <w:r>
        <w:t xml:space="preserve">8-2028 </w:t>
      </w:r>
      <w:proofErr w:type="spellStart"/>
      <w:r w:rsidRPr="00E96E61">
        <w:t>гг</w:t>
      </w:r>
      <w:proofErr w:type="spellEnd"/>
      <w:r w:rsidRPr="00E96E61">
        <w:t xml:space="preserve"> в области газоснабжения. </w:t>
      </w:r>
    </w:p>
    <w:p w:rsidR="008D2D50" w:rsidRPr="00E96E61" w:rsidRDefault="008D2D50" w:rsidP="008D2D50">
      <w:pPr>
        <w:ind w:firstLine="540"/>
      </w:pPr>
      <w:r w:rsidRPr="00E96E61">
        <w:t>1. Нормативные правовые акты, регулирующие предоставление услуги</w:t>
      </w:r>
    </w:p>
    <w:p w:rsidR="008D2D50" w:rsidRPr="00E96E61" w:rsidRDefault="008D2D50" w:rsidP="008D2D50">
      <w:pPr>
        <w:ind w:firstLine="540"/>
      </w:pPr>
      <w:r w:rsidRPr="00E96E61">
        <w:t>1.1.Федеральный закон от 6 октября 2003 № 131-ФЗ «Об общих принципах организации местного самоуправления в Российской Федерации» (с изм</w:t>
      </w:r>
      <w:r w:rsidRPr="00E96E61">
        <w:t>е</w:t>
      </w:r>
      <w:r w:rsidRPr="00E96E61">
        <w:t>нениями от 10.05.07);</w:t>
      </w:r>
    </w:p>
    <w:p w:rsidR="008D2D50" w:rsidRPr="00E96E61" w:rsidRDefault="008D2D50" w:rsidP="008D2D50">
      <w:pPr>
        <w:ind w:firstLine="540"/>
      </w:pPr>
      <w:r w:rsidRPr="00E96E61">
        <w:t>1.2.Федеральный закон от 31 марта 1999 № 69-ФЗ «О газоснабжении в Российской Федер</w:t>
      </w:r>
      <w:r w:rsidRPr="00E96E61">
        <w:t>а</w:t>
      </w:r>
      <w:r w:rsidRPr="00E96E61">
        <w:t>ции» (с изменениями от 18.12.06);</w:t>
      </w:r>
    </w:p>
    <w:p w:rsidR="008D2D50" w:rsidRPr="00E96E61" w:rsidRDefault="008D2D50" w:rsidP="008D2D50">
      <w:pPr>
        <w:ind w:firstLine="540"/>
      </w:pPr>
      <w:r w:rsidRPr="00E96E61">
        <w:t>1.3.Постановление правительства Российской Федерации от 17 ма</w:t>
      </w:r>
      <w:r w:rsidR="00863979">
        <w:t>я 2002 № 317</w:t>
      </w:r>
      <w:r w:rsidRPr="00E96E61">
        <w:t xml:space="preserve"> «Об утверждении Правил пользования газом и предоставл</w:t>
      </w:r>
      <w:r w:rsidRPr="00E96E61">
        <w:t>е</w:t>
      </w:r>
      <w:r w:rsidRPr="00E96E61">
        <w:t>ния услуг по газоснабжению в Ро</w:t>
      </w:r>
      <w:r w:rsidRPr="00E96E61">
        <w:t>с</w:t>
      </w:r>
      <w:r w:rsidRPr="00E96E61">
        <w:t>сийской Федерации»;</w:t>
      </w:r>
    </w:p>
    <w:p w:rsidR="008D2D50" w:rsidRPr="00E96E61" w:rsidRDefault="008D2D50" w:rsidP="008D2D50">
      <w:pPr>
        <w:ind w:firstLine="540"/>
      </w:pPr>
      <w:r w:rsidRPr="00E96E61">
        <w:t>1.4.Постановление Госстроя Российской Федерации от 27 сентября</w:t>
      </w:r>
      <w:r w:rsidR="00863979">
        <w:t xml:space="preserve"> 2003 № 170 </w:t>
      </w:r>
      <w:r w:rsidRPr="00E96E61">
        <w:t>«Об утверждении Правил и норм технической эксплуатации жилищного фонда»;</w:t>
      </w:r>
    </w:p>
    <w:p w:rsidR="008D2D50" w:rsidRPr="00E96E61" w:rsidRDefault="008D2D50" w:rsidP="008D2D50">
      <w:pPr>
        <w:ind w:firstLine="540"/>
      </w:pPr>
      <w:r w:rsidRPr="00E96E61">
        <w:t xml:space="preserve">1.5.Постановление Правительства Российской Федерации от 23 мая </w:t>
      </w:r>
      <w:r w:rsidR="00863979">
        <w:t xml:space="preserve">2006 № 307 </w:t>
      </w:r>
      <w:r w:rsidRPr="00E96E61">
        <w:t>«О порядке предоставления коммунальных услуг гражд</w:t>
      </w:r>
      <w:r w:rsidRPr="00E96E61">
        <w:t>а</w:t>
      </w:r>
      <w:r w:rsidRPr="00E96E61">
        <w:t>нам»;</w:t>
      </w:r>
    </w:p>
    <w:p w:rsidR="008D2D50" w:rsidRPr="00E96E61" w:rsidRDefault="008D2D50" w:rsidP="008D2D50">
      <w:pPr>
        <w:ind w:firstLine="540"/>
      </w:pPr>
      <w:r w:rsidRPr="00E96E61">
        <w:t>1.6.Государственный стандарт ГОСТ 5542-87 «Газы горючие природные для промышленного и коммунально-бытового назначения» (утв. П</w:t>
      </w:r>
      <w:r w:rsidRPr="00E96E61">
        <w:t>о</w:t>
      </w:r>
      <w:r w:rsidRPr="00E96E61">
        <w:t>становлением Госстандарта СССР от 16 а</w:t>
      </w:r>
      <w:r w:rsidRPr="00E96E61">
        <w:t>п</w:t>
      </w:r>
      <w:r w:rsidRPr="00E96E61">
        <w:t>реля 1987 № 36);</w:t>
      </w:r>
    </w:p>
    <w:p w:rsidR="008D2D50" w:rsidRPr="00E96E61" w:rsidRDefault="008D2D50" w:rsidP="008D2D50">
      <w:pPr>
        <w:ind w:firstLine="540"/>
      </w:pPr>
      <w:r w:rsidRPr="00E96E61">
        <w:t>1.7.Государственный стандарт ГОСТ 20448-90 «Газы углеводородные сжиженные топливные для коммунально-бытового потребления» (утв. Пост</w:t>
      </w:r>
      <w:r w:rsidRPr="00E96E61">
        <w:t>а</w:t>
      </w:r>
      <w:r w:rsidRPr="00E96E61">
        <w:t>новлением Государственного комитета СССР по управлению качеством продукции и стандартам от 29 дек</w:t>
      </w:r>
      <w:r w:rsidR="00863979">
        <w:t xml:space="preserve">абря 1990 </w:t>
      </w:r>
      <w:r w:rsidRPr="00E96E61">
        <w:t xml:space="preserve"> №  3605);</w:t>
      </w:r>
    </w:p>
    <w:p w:rsidR="008D2D50" w:rsidRPr="00E96E61" w:rsidRDefault="008D2D50" w:rsidP="008D2D50">
      <w:pPr>
        <w:ind w:firstLine="540"/>
      </w:pPr>
      <w:r w:rsidRPr="00E96E61">
        <w:t>1.8.Государственный стандарт ГОСТ Р 51617-2000 «Жилищно-коммунальные услуги. Общие технические условия» (утв. постановлением Го</w:t>
      </w:r>
      <w:r w:rsidRPr="00E96E61">
        <w:t>с</w:t>
      </w:r>
      <w:r w:rsidRPr="00E96E61">
        <w:t>станда</w:t>
      </w:r>
      <w:r w:rsidRPr="00E96E61">
        <w:t>р</w:t>
      </w:r>
      <w:r w:rsidRPr="00E96E61">
        <w:t>та России от 19 июня 2000                  № 158-ст) (с изменениями от 22.07.03);</w:t>
      </w:r>
    </w:p>
    <w:p w:rsidR="008D2D50" w:rsidRPr="00E96E61" w:rsidRDefault="008D2D50" w:rsidP="008D2D50">
      <w:pPr>
        <w:ind w:firstLine="540"/>
      </w:pPr>
      <w:r w:rsidRPr="00E96E61">
        <w:t>1.9.Постановление Минтруда Российской Федерации от 12 мая 2003 №</w:t>
      </w:r>
      <w:r w:rsidR="00863979">
        <w:t xml:space="preserve"> 27 </w:t>
      </w:r>
      <w:r w:rsidRPr="00E96E61">
        <w:t>«Об утверждении Межотраслевых правил по охране труда при эк</w:t>
      </w:r>
      <w:r w:rsidRPr="00E96E61">
        <w:t>с</w:t>
      </w:r>
      <w:r w:rsidRPr="00E96E61">
        <w:t>плуатации газового хозяйства организаций»;</w:t>
      </w:r>
    </w:p>
    <w:p w:rsidR="008D2D50" w:rsidRPr="00E96E61" w:rsidRDefault="008D2D50" w:rsidP="008D2D50">
      <w:pPr>
        <w:ind w:firstLine="540"/>
      </w:pPr>
      <w:r w:rsidRPr="00E96E61">
        <w:t xml:space="preserve">1.10.Иные нормативные правовые акты Российской Федерации. </w:t>
      </w:r>
    </w:p>
    <w:p w:rsidR="008D2D50" w:rsidRPr="00E96E61" w:rsidRDefault="008D2D50" w:rsidP="008D2D50">
      <w:pPr>
        <w:ind w:firstLine="540"/>
      </w:pPr>
    </w:p>
    <w:p w:rsidR="008D2D50" w:rsidRPr="00E96E61" w:rsidRDefault="008D2D50" w:rsidP="008D2D50">
      <w:pPr>
        <w:ind w:firstLine="540"/>
        <w:rPr>
          <w:highlight w:val="yellow"/>
        </w:rPr>
      </w:pPr>
      <w:bookmarkStart w:id="14" w:name="_Toc160022959"/>
      <w:r w:rsidRPr="00E96E61">
        <w:t>2. Требования к качеству услуг, закрепляемые стандартом</w:t>
      </w:r>
      <w:bookmarkEnd w:id="14"/>
    </w:p>
    <w:p w:rsidR="008D2D50" w:rsidRPr="00E96E61" w:rsidRDefault="008D2D50" w:rsidP="008D2D50">
      <w:pPr>
        <w:ind w:firstLine="540"/>
      </w:pPr>
      <w:bookmarkStart w:id="15" w:name="_Toc160022960"/>
      <w:r w:rsidRPr="00E96E61">
        <w:t>2.1. Требования к качеству газа</w:t>
      </w:r>
      <w:bookmarkEnd w:id="15"/>
      <w:r w:rsidRPr="00E96E61">
        <w:t>;</w:t>
      </w:r>
    </w:p>
    <w:p w:rsidR="008D2D50" w:rsidRPr="00E96E61" w:rsidRDefault="008D2D50" w:rsidP="008D2D50">
      <w:pPr>
        <w:ind w:firstLine="540"/>
      </w:pPr>
      <w:r w:rsidRPr="00E96E61">
        <w:t>2.1.1.При подаче природного газа массовая концентрация сероводорода должна составлять не более 0,02 г/м3, объемная доля кислорода – не более 1,0%, интенсивность запаха при объе</w:t>
      </w:r>
      <w:r w:rsidRPr="00E96E61">
        <w:t>м</w:t>
      </w:r>
      <w:r w:rsidRPr="00E96E61">
        <w:t>ной доле 1% в воздухе – не более 3-х баллов;</w:t>
      </w:r>
    </w:p>
    <w:p w:rsidR="008D2D50" w:rsidRPr="00E96E61" w:rsidRDefault="008D2D50" w:rsidP="008D2D50">
      <w:pPr>
        <w:ind w:firstLine="540"/>
      </w:pPr>
      <w:r w:rsidRPr="00E96E61">
        <w:t>2.1.2.При подаче сжиженного газа максимальная доля сероводорода должна составлять не более 0,003%;</w:t>
      </w:r>
    </w:p>
    <w:p w:rsidR="008D2D50" w:rsidRPr="00E24A24" w:rsidRDefault="008D2D50" w:rsidP="008D2D50">
      <w:pPr>
        <w:ind w:firstLine="540"/>
      </w:pPr>
      <w:r w:rsidRPr="00E96E61">
        <w:t>2.1.3.Давление сетевого газа, подаваемого в жилые здания и прочие места коммунального проживания должно быть не менее 0,003 МПа и не более 0,005 МПА. Отклонение давления с</w:t>
      </w:r>
      <w:r w:rsidRPr="00E96E61">
        <w:t>е</w:t>
      </w:r>
      <w:r w:rsidRPr="00E96E61">
        <w:t>тевого газа от нормативов не</w:t>
      </w:r>
      <w:r>
        <w:t xml:space="preserve"> должно превышать 0,0005 Мпа.</w:t>
      </w:r>
    </w:p>
    <w:p w:rsidR="008D2D50" w:rsidRDefault="008D2D50" w:rsidP="008D2D50">
      <w:pPr>
        <w:rPr>
          <w:b/>
          <w:sz w:val="28"/>
          <w:szCs w:val="28"/>
        </w:rPr>
      </w:pPr>
    </w:p>
    <w:p w:rsidR="008D2D50" w:rsidRDefault="008D2D50" w:rsidP="008D2D50">
      <w:pPr>
        <w:rPr>
          <w:b/>
          <w:sz w:val="28"/>
          <w:szCs w:val="28"/>
        </w:rPr>
      </w:pPr>
    </w:p>
    <w:p w:rsidR="008D2D50" w:rsidRPr="00E24A24" w:rsidRDefault="008D2D50" w:rsidP="008D2D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E24A24">
        <w:rPr>
          <w:b/>
          <w:sz w:val="28"/>
          <w:szCs w:val="28"/>
        </w:rPr>
        <w:t xml:space="preserve">.Формирование сводного плана программных мероприятий комплексного развития коммунальной инфраструктуры  </w:t>
      </w:r>
      <w:proofErr w:type="spellStart"/>
      <w:r w:rsidRPr="00E24A24">
        <w:rPr>
          <w:b/>
          <w:sz w:val="28"/>
          <w:szCs w:val="28"/>
        </w:rPr>
        <w:t>Новогригорьевского</w:t>
      </w:r>
      <w:proofErr w:type="spellEnd"/>
      <w:r w:rsidRPr="00E24A24">
        <w:rPr>
          <w:b/>
          <w:sz w:val="28"/>
          <w:szCs w:val="28"/>
        </w:rPr>
        <w:t xml:space="preserve"> сел</w:t>
      </w:r>
      <w:r w:rsidRPr="00E24A24">
        <w:rPr>
          <w:b/>
          <w:sz w:val="28"/>
          <w:szCs w:val="28"/>
        </w:rPr>
        <w:t>ь</w:t>
      </w:r>
      <w:r w:rsidRPr="00E24A24">
        <w:rPr>
          <w:b/>
          <w:sz w:val="28"/>
          <w:szCs w:val="28"/>
        </w:rPr>
        <w:t>ского поселения.</w:t>
      </w:r>
    </w:p>
    <w:p w:rsidR="008D2D50" w:rsidRPr="00E24A24" w:rsidRDefault="008D2D50" w:rsidP="008D2D50">
      <w:pPr>
        <w:rPr>
          <w:b/>
          <w:sz w:val="28"/>
          <w:szCs w:val="28"/>
        </w:rPr>
      </w:pPr>
    </w:p>
    <w:p w:rsidR="008D2D50" w:rsidRDefault="008D2D50" w:rsidP="008D2D50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96E61">
        <w:t xml:space="preserve">таблица № </w:t>
      </w:r>
      <w:r>
        <w:t>5</w:t>
      </w:r>
    </w:p>
    <w:p w:rsidR="008D2D50" w:rsidRDefault="008D2D50" w:rsidP="008D2D50"/>
    <w:p w:rsidR="008D2D50" w:rsidRDefault="008D2D50" w:rsidP="008D2D50"/>
    <w:p w:rsidR="008D2D50" w:rsidRDefault="008D2D50" w:rsidP="008D2D50"/>
    <w:p w:rsidR="008D2D50" w:rsidRPr="00E96E61" w:rsidRDefault="008D2D50" w:rsidP="008D2D50"/>
    <w:p w:rsidR="008D2D50" w:rsidRDefault="008D2D50" w:rsidP="008D2D50">
      <w:pPr>
        <w:jc w:val="center"/>
      </w:pPr>
      <w:r w:rsidRPr="00E96E61">
        <w:t xml:space="preserve">ОСНОВНЫЕ   МЕРОПРИЯТИЯ  ПРОГРАММЫ   КОМПЛЕКСНОГО   РАЗВИТИЯ   </w:t>
      </w:r>
      <w:r w:rsidRPr="00E96E61">
        <w:br/>
        <w:t xml:space="preserve"> КОММУНАЛЬНОЙ  ИНФРАСТРУКТУРЫ  </w:t>
      </w:r>
      <w:r>
        <w:t xml:space="preserve">НОВОГРИГОРЬЕВСКОГО СЕЛЬСКОГО ПОСЕЛЕНИЯ   </w:t>
      </w:r>
      <w:r w:rsidRPr="00E96E61">
        <w:t>на 201</w:t>
      </w:r>
      <w:r>
        <w:t>8-2028</w:t>
      </w:r>
      <w:r w:rsidRPr="00E96E61">
        <w:t xml:space="preserve"> год</w:t>
      </w:r>
    </w:p>
    <w:p w:rsidR="008D2D50" w:rsidRPr="00E96E61" w:rsidRDefault="008D2D50" w:rsidP="008D2D50">
      <w:pPr>
        <w:jc w:val="center"/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500"/>
        <w:gridCol w:w="3120"/>
        <w:gridCol w:w="840"/>
        <w:gridCol w:w="936"/>
        <w:gridCol w:w="816"/>
        <w:gridCol w:w="816"/>
        <w:gridCol w:w="816"/>
        <w:gridCol w:w="816"/>
        <w:gridCol w:w="817"/>
        <w:gridCol w:w="816"/>
        <w:gridCol w:w="799"/>
        <w:gridCol w:w="816"/>
        <w:gridCol w:w="816"/>
        <w:gridCol w:w="976"/>
        <w:gridCol w:w="720"/>
        <w:gridCol w:w="1200"/>
      </w:tblGrid>
      <w:tr w:rsidR="008D2D50" w:rsidRPr="00E96E61" w:rsidTr="00871AC8">
        <w:trPr>
          <w:trHeight w:val="25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 xml:space="preserve">№ </w:t>
            </w:r>
            <w:proofErr w:type="spellStart"/>
            <w:r w:rsidRPr="00E96E61">
              <w:t>пп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Наименование меропри</w:t>
            </w:r>
            <w:r w:rsidRPr="00E96E61">
              <w:t>я</w:t>
            </w:r>
            <w:r w:rsidRPr="00E96E61">
              <w:t>тий</w:t>
            </w:r>
          </w:p>
        </w:tc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 xml:space="preserve">Ориентировочные затраты, тыс. </w:t>
            </w:r>
            <w:proofErr w:type="spellStart"/>
            <w:r w:rsidRPr="00E96E61">
              <w:t>руб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Прим</w:t>
            </w:r>
            <w:r w:rsidRPr="00E96E61">
              <w:t>е</w:t>
            </w:r>
            <w:r w:rsidRPr="00E96E61">
              <w:t>чание</w:t>
            </w:r>
          </w:p>
        </w:tc>
      </w:tr>
      <w:tr w:rsidR="008D2D50" w:rsidRPr="00E96E61" w:rsidTr="00871AC8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Всего</w:t>
            </w:r>
          </w:p>
        </w:tc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в том числе по годам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</w:tr>
      <w:tr w:rsidR="008D2D50" w:rsidRPr="00E96E61" w:rsidTr="00871AC8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20</w:t>
            </w:r>
            <w: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2021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2023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20</w:t>
            </w: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20</w:t>
            </w:r>
            <w: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2028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</w:tr>
      <w:tr w:rsidR="008D2D50" w:rsidRPr="00E96E61" w:rsidTr="00871AC8">
        <w:trPr>
          <w:trHeight w:val="25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16</w:t>
            </w:r>
          </w:p>
        </w:tc>
      </w:tr>
      <w:tr w:rsidR="008D2D50" w:rsidRPr="00E96E61" w:rsidTr="00871AC8">
        <w:trPr>
          <w:trHeight w:val="255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Жилой район</w:t>
            </w:r>
            <w:r>
              <w:t xml:space="preserve"> </w:t>
            </w:r>
            <w:r w:rsidRPr="00050BB0">
              <w:rPr>
                <w:color w:val="000000"/>
              </w:rPr>
              <w:t xml:space="preserve">станицы </w:t>
            </w:r>
            <w:proofErr w:type="spellStart"/>
            <w:r w:rsidRPr="00050BB0">
              <w:rPr>
                <w:color w:val="000000"/>
              </w:rPr>
              <w:t>Новогригорьевской</w:t>
            </w:r>
            <w:proofErr w:type="spellEnd"/>
          </w:p>
        </w:tc>
      </w:tr>
      <w:tr w:rsidR="008D2D50" w:rsidRPr="00E96E61" w:rsidTr="00871AC8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</w:t>
            </w:r>
            <w:r w:rsidRPr="00E96E61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 w:rsidRPr="00E96E61">
              <w:t>Водоснабжение поселения полностью.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450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E96E61" w:rsidRDefault="008D2D50" w:rsidP="00871AC8">
            <w: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E96E61" w:rsidRDefault="008D2D50" w:rsidP="00871AC8">
            <w: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</w:tr>
      <w:tr w:rsidR="008D2D50" w:rsidRPr="00E96E61" w:rsidTr="00871AC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3</w:t>
            </w:r>
            <w:r w:rsidRPr="00E96E61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050BB0" w:rsidRDefault="008D2D50" w:rsidP="00871AC8">
            <w:pPr>
              <w:rPr>
                <w:color w:val="000000"/>
              </w:rPr>
            </w:pPr>
            <w:r w:rsidRPr="00050BB0">
              <w:rPr>
                <w:color w:val="000000"/>
              </w:rPr>
              <w:t>Водоотведение поселения полностью.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0" w:rsidRPr="00E96E61" w:rsidRDefault="008D2D50" w:rsidP="00871AC8"/>
        </w:tc>
      </w:tr>
    </w:tbl>
    <w:p w:rsidR="008D2D50" w:rsidRPr="00E96E61" w:rsidRDefault="008D2D50" w:rsidP="00E24A24">
      <w:pPr>
        <w:jc w:val="both"/>
        <w:sectPr w:rsidR="008D2D50" w:rsidRPr="00E96E61" w:rsidSect="008D2D50">
          <w:pgSz w:w="16838" w:h="11906" w:orient="landscape"/>
          <w:pgMar w:top="1259" w:right="720" w:bottom="924" w:left="720" w:header="709" w:footer="709" w:gutter="0"/>
          <w:cols w:space="720"/>
        </w:sectPr>
      </w:pPr>
    </w:p>
    <w:p w:rsidR="00E24A24" w:rsidRDefault="00E24A24" w:rsidP="00E24A24">
      <w:pPr>
        <w:rPr>
          <w:b/>
        </w:rPr>
      </w:pPr>
    </w:p>
    <w:p w:rsidR="00E24A24" w:rsidRPr="00A71BB5" w:rsidRDefault="00E24A24" w:rsidP="00E24A24">
      <w:pPr>
        <w:rPr>
          <w:sz w:val="16"/>
          <w:szCs w:val="16"/>
        </w:rPr>
      </w:pPr>
    </w:p>
    <w:p w:rsidR="008D2D50" w:rsidRPr="003059E2" w:rsidRDefault="008D2D50" w:rsidP="008D2D50">
      <w:pPr>
        <w:ind w:firstLine="540"/>
        <w:rPr>
          <w:b/>
        </w:rPr>
      </w:pPr>
      <w:r>
        <w:rPr>
          <w:b/>
        </w:rPr>
        <w:t>7</w:t>
      </w:r>
      <w:r w:rsidRPr="003059E2">
        <w:rPr>
          <w:b/>
        </w:rPr>
        <w:t>.Ожидаемые результаты реализации комплексного развития системы коммунал</w:t>
      </w:r>
      <w:r w:rsidRPr="003059E2">
        <w:rPr>
          <w:b/>
        </w:rPr>
        <w:t>ь</w:t>
      </w:r>
      <w:r w:rsidRPr="003059E2">
        <w:rPr>
          <w:b/>
        </w:rPr>
        <w:t>ной инфраструктуры</w:t>
      </w:r>
      <w:r>
        <w:rPr>
          <w:b/>
        </w:rPr>
        <w:t>.</w:t>
      </w:r>
    </w:p>
    <w:p w:rsidR="008D2D50" w:rsidRPr="00E96E61" w:rsidRDefault="008D2D50" w:rsidP="008D2D50">
      <w:pPr>
        <w:ind w:firstLine="540"/>
      </w:pPr>
    </w:p>
    <w:p w:rsidR="008D2D50" w:rsidRPr="00E96E61" w:rsidRDefault="008D2D50" w:rsidP="008D2D50">
      <w:pPr>
        <w:ind w:firstLine="540"/>
      </w:pPr>
      <w:bookmarkStart w:id="16" w:name="_Toc220824799"/>
      <w:r w:rsidRPr="00E96E61">
        <w:t>Реализация программных мероприятий по развитию и модернизации системы водосна</w:t>
      </w:r>
      <w:r w:rsidRPr="00E96E61">
        <w:t>б</w:t>
      </w:r>
      <w:r w:rsidRPr="00E96E61">
        <w:t xml:space="preserve">жения и водоотведения </w:t>
      </w:r>
      <w:r>
        <w:t>поселения</w:t>
      </w:r>
      <w:r w:rsidRPr="00E96E61">
        <w:t xml:space="preserve"> позволит улучшить условия и уровень жизни нас</w:t>
      </w:r>
      <w:r w:rsidRPr="00E96E61">
        <w:t>е</w:t>
      </w:r>
      <w:r w:rsidRPr="00E96E61">
        <w:t>ления.</w:t>
      </w:r>
      <w:bookmarkEnd w:id="16"/>
      <w:r w:rsidRPr="00E96E61">
        <w:t xml:space="preserve"> </w:t>
      </w:r>
    </w:p>
    <w:p w:rsidR="008D2D50" w:rsidRPr="00E96E61" w:rsidRDefault="008D2D50" w:rsidP="008D2D50">
      <w:pPr>
        <w:ind w:firstLine="540"/>
      </w:pPr>
      <w:r w:rsidRPr="00E96E61">
        <w:t>Реализация мероприятий по развитию и модернизации системы водоснабжения п</w:t>
      </w:r>
      <w:r w:rsidRPr="00E96E61">
        <w:t>о</w:t>
      </w:r>
      <w:r w:rsidRPr="00E96E61">
        <w:t>зволит:</w:t>
      </w:r>
    </w:p>
    <w:p w:rsidR="008D2D50" w:rsidRPr="00E96E61" w:rsidRDefault="008D2D50" w:rsidP="008D2D50">
      <w:pPr>
        <w:ind w:firstLine="540"/>
      </w:pPr>
      <w:r w:rsidRPr="00E96E61">
        <w:t xml:space="preserve">обеспечить централизованным водоснабжением территорию всех планируемых </w:t>
      </w:r>
      <w:r>
        <w:t>террит</w:t>
      </w:r>
      <w:r>
        <w:t>о</w:t>
      </w:r>
      <w:r>
        <w:t>рий поселения</w:t>
      </w:r>
      <w:r w:rsidRPr="00E96E61">
        <w:t>;</w:t>
      </w:r>
    </w:p>
    <w:p w:rsidR="008D2D50" w:rsidRPr="00E96E61" w:rsidRDefault="008D2D50" w:rsidP="008D2D50">
      <w:pPr>
        <w:ind w:firstLine="540"/>
      </w:pPr>
      <w:r w:rsidRPr="00E96E61">
        <w:t>улучшить качественные показатели питьевой воды;</w:t>
      </w:r>
    </w:p>
    <w:p w:rsidR="008D2D50" w:rsidRPr="00E96E61" w:rsidRDefault="008D2D50" w:rsidP="008D2D50">
      <w:pPr>
        <w:ind w:firstLine="540"/>
      </w:pPr>
      <w:r w:rsidRPr="00E96E61">
        <w:t xml:space="preserve">обеспечить бесперебойное водоснабжение </w:t>
      </w:r>
      <w:r>
        <w:t>поселения</w:t>
      </w:r>
      <w:r w:rsidRPr="00E96E61">
        <w:t>;</w:t>
      </w:r>
    </w:p>
    <w:p w:rsidR="008D2D50" w:rsidRPr="00E96E61" w:rsidRDefault="008D2D50" w:rsidP="008D2D50">
      <w:pPr>
        <w:ind w:firstLine="540"/>
      </w:pPr>
      <w:r w:rsidRPr="00E96E61">
        <w:t xml:space="preserve">сократить удельные расходы на энергию и другие </w:t>
      </w:r>
      <w:proofErr w:type="spellStart"/>
      <w:r w:rsidRPr="00E96E61">
        <w:t>эксплутационные</w:t>
      </w:r>
      <w:proofErr w:type="spellEnd"/>
      <w:r w:rsidRPr="00E96E61">
        <w:t xml:space="preserve"> расходы;</w:t>
      </w:r>
    </w:p>
    <w:p w:rsidR="008D2D50" w:rsidRPr="00E96E61" w:rsidRDefault="008D2D50" w:rsidP="008D2D50">
      <w:pPr>
        <w:ind w:firstLine="540"/>
      </w:pPr>
      <w:r w:rsidRPr="00E96E61">
        <w:t>увеличить количество потребителей услуг, а также объем сбора средств  за предоставле</w:t>
      </w:r>
      <w:r w:rsidRPr="00E96E61">
        <w:t>н</w:t>
      </w:r>
      <w:r w:rsidRPr="00E96E61">
        <w:t>ные услуги;</w:t>
      </w:r>
    </w:p>
    <w:p w:rsidR="008D2D50" w:rsidRPr="00E96E61" w:rsidRDefault="008D2D50" w:rsidP="008D2D50">
      <w:pPr>
        <w:ind w:firstLine="540"/>
      </w:pPr>
      <w:r w:rsidRPr="00E96E61">
        <w:t>повысить рентабельность деятельности предприятий, эксплуатирующих системы вод</w:t>
      </w:r>
      <w:r w:rsidRPr="00E96E61">
        <w:t>о</w:t>
      </w:r>
      <w:r w:rsidRPr="00E96E61">
        <w:t xml:space="preserve">снабжения </w:t>
      </w:r>
      <w:r>
        <w:t>поселения</w:t>
      </w:r>
      <w:r w:rsidRPr="00E96E61">
        <w:t>.</w:t>
      </w:r>
    </w:p>
    <w:p w:rsidR="008D2D50" w:rsidRPr="00E96E61" w:rsidRDefault="008D2D50" w:rsidP="008D2D50">
      <w:pPr>
        <w:ind w:firstLine="540"/>
      </w:pPr>
    </w:p>
    <w:p w:rsidR="008D2D50" w:rsidRPr="00E96E61" w:rsidRDefault="008D2D50" w:rsidP="008D2D50">
      <w:pPr>
        <w:ind w:firstLine="540"/>
      </w:pPr>
      <w:r w:rsidRPr="00E96E61">
        <w:t>Реализация мероприятий по развитию и модернизации системы водоотведения п</w:t>
      </w:r>
      <w:r w:rsidRPr="00E96E61">
        <w:t>о</w:t>
      </w:r>
      <w:r w:rsidRPr="00E96E61">
        <w:t>зволит:</w:t>
      </w:r>
    </w:p>
    <w:p w:rsidR="008D2D50" w:rsidRPr="00E96E61" w:rsidRDefault="008D2D50" w:rsidP="008D2D50">
      <w:pPr>
        <w:ind w:firstLine="540"/>
      </w:pPr>
      <w:r w:rsidRPr="00E96E61">
        <w:t>обеспечить централизованным водоотведением территорию всех планировочных ра</w:t>
      </w:r>
      <w:r w:rsidRPr="00E96E61">
        <w:t>й</w:t>
      </w:r>
      <w:r w:rsidRPr="00E96E61">
        <w:t>онов;</w:t>
      </w:r>
    </w:p>
    <w:p w:rsidR="008D2D50" w:rsidRPr="00E96E61" w:rsidRDefault="008D2D50" w:rsidP="008D2D50">
      <w:pPr>
        <w:ind w:firstLine="540"/>
      </w:pPr>
      <w:r w:rsidRPr="00E96E61">
        <w:t xml:space="preserve">сократить удельные расходы на энергию и другие </w:t>
      </w:r>
      <w:proofErr w:type="spellStart"/>
      <w:r w:rsidRPr="00E96E61">
        <w:t>эксплутационные</w:t>
      </w:r>
      <w:proofErr w:type="spellEnd"/>
      <w:r w:rsidRPr="00E96E61">
        <w:t xml:space="preserve"> расходы;</w:t>
      </w:r>
    </w:p>
    <w:p w:rsidR="008D2D50" w:rsidRPr="00E96E61" w:rsidRDefault="008D2D50" w:rsidP="008D2D50">
      <w:pPr>
        <w:ind w:firstLine="540"/>
      </w:pPr>
      <w:r w:rsidRPr="00E96E61">
        <w:t>увеличить количество потребителей услуг, а также объем сбора средств  за предоставле</w:t>
      </w:r>
      <w:r w:rsidRPr="00E96E61">
        <w:t>н</w:t>
      </w:r>
      <w:r w:rsidRPr="00E96E61">
        <w:t>ные услуги;</w:t>
      </w:r>
    </w:p>
    <w:p w:rsidR="008D2D50" w:rsidRPr="00E96E61" w:rsidRDefault="008D2D50" w:rsidP="008D2D50">
      <w:pPr>
        <w:ind w:firstLine="540"/>
      </w:pPr>
      <w:r w:rsidRPr="00E96E61">
        <w:t>повысить рентабельность деятельности предприятий, эксплуатирующих системы водоо</w:t>
      </w:r>
      <w:r w:rsidRPr="00E96E61">
        <w:t>т</w:t>
      </w:r>
      <w:r w:rsidRPr="00E96E61">
        <w:t xml:space="preserve">ведения </w:t>
      </w:r>
      <w:r>
        <w:t>поселения</w:t>
      </w:r>
      <w:r w:rsidRPr="00E96E61">
        <w:t xml:space="preserve">. </w:t>
      </w:r>
    </w:p>
    <w:p w:rsidR="008D2D50" w:rsidRPr="00E96E61" w:rsidRDefault="008D2D50" w:rsidP="008D2D50">
      <w:pPr>
        <w:ind w:firstLine="540"/>
      </w:pPr>
      <w:r w:rsidRPr="00E96E61">
        <w:t>снизить уровень грунтовых вод;</w:t>
      </w:r>
    </w:p>
    <w:p w:rsidR="00B50B67" w:rsidRPr="00E96E61" w:rsidRDefault="008D2D50" w:rsidP="008D2D50">
      <w:pPr>
        <w:ind w:firstLine="540"/>
        <w:sectPr w:rsidR="00B50B67" w:rsidRPr="00E96E61" w:rsidSect="008D2D50">
          <w:pgSz w:w="11906" w:h="16838"/>
          <w:pgMar w:top="232" w:right="1077" w:bottom="567" w:left="987" w:header="709" w:footer="709" w:gutter="0"/>
          <w:cols w:space="720"/>
          <w:docGrid w:linePitch="326"/>
        </w:sectPr>
      </w:pPr>
      <w:r w:rsidRPr="00E96E61">
        <w:t>улучшить санитарно-гигиенических условий проживания населения.</w:t>
      </w:r>
    </w:p>
    <w:bookmarkEnd w:id="5"/>
    <w:bookmarkEnd w:id="6"/>
    <w:p w:rsidR="00E95AF6" w:rsidRDefault="00E95AF6" w:rsidP="008D2D50"/>
    <w:sectPr w:rsidR="00E95AF6" w:rsidSect="00A71BB5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A3C9E"/>
    <w:multiLevelType w:val="hybridMultilevel"/>
    <w:tmpl w:val="46A81230"/>
    <w:lvl w:ilvl="0" w:tplc="79E836DE">
      <w:start w:val="1"/>
      <w:numFmt w:val="decimal"/>
      <w:lvlText w:val="%1."/>
      <w:lvlJc w:val="left"/>
      <w:pPr>
        <w:tabs>
          <w:tab w:val="num" w:pos="4350"/>
        </w:tabs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70"/>
        </w:tabs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90"/>
        </w:tabs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10"/>
        </w:tabs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30"/>
        </w:tabs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50"/>
        </w:tabs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70"/>
        </w:tabs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90"/>
        </w:tabs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10"/>
        </w:tabs>
        <w:ind w:left="10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74"/>
    <w:rsid w:val="00005F74"/>
    <w:rsid w:val="00041C53"/>
    <w:rsid w:val="00043411"/>
    <w:rsid w:val="00050BB0"/>
    <w:rsid w:val="000B4851"/>
    <w:rsid w:val="00115685"/>
    <w:rsid w:val="00160916"/>
    <w:rsid w:val="00167006"/>
    <w:rsid w:val="001773C9"/>
    <w:rsid w:val="00191254"/>
    <w:rsid w:val="001D4993"/>
    <w:rsid w:val="001E5792"/>
    <w:rsid w:val="001E5E06"/>
    <w:rsid w:val="00226C43"/>
    <w:rsid w:val="002A0034"/>
    <w:rsid w:val="002C61C6"/>
    <w:rsid w:val="002D4D6B"/>
    <w:rsid w:val="002E5DDF"/>
    <w:rsid w:val="003059E2"/>
    <w:rsid w:val="00312C77"/>
    <w:rsid w:val="00340750"/>
    <w:rsid w:val="00362A80"/>
    <w:rsid w:val="00371D6A"/>
    <w:rsid w:val="003802C0"/>
    <w:rsid w:val="00393CFC"/>
    <w:rsid w:val="003C3099"/>
    <w:rsid w:val="003D5E93"/>
    <w:rsid w:val="003E41B6"/>
    <w:rsid w:val="003E6123"/>
    <w:rsid w:val="0046606B"/>
    <w:rsid w:val="004A6BAD"/>
    <w:rsid w:val="004B1445"/>
    <w:rsid w:val="004C6249"/>
    <w:rsid w:val="004F23C2"/>
    <w:rsid w:val="00512FD4"/>
    <w:rsid w:val="00531C6B"/>
    <w:rsid w:val="00534009"/>
    <w:rsid w:val="005408AC"/>
    <w:rsid w:val="005B351C"/>
    <w:rsid w:val="00660AA2"/>
    <w:rsid w:val="00695983"/>
    <w:rsid w:val="006D58F2"/>
    <w:rsid w:val="006E2E76"/>
    <w:rsid w:val="00701A4F"/>
    <w:rsid w:val="00755D7D"/>
    <w:rsid w:val="007932A0"/>
    <w:rsid w:val="007A7EE7"/>
    <w:rsid w:val="007C1E5E"/>
    <w:rsid w:val="007F1B88"/>
    <w:rsid w:val="007F34A5"/>
    <w:rsid w:val="008021A5"/>
    <w:rsid w:val="00863979"/>
    <w:rsid w:val="00871AC8"/>
    <w:rsid w:val="008D2D50"/>
    <w:rsid w:val="00900843"/>
    <w:rsid w:val="00906285"/>
    <w:rsid w:val="009310E6"/>
    <w:rsid w:val="009664AB"/>
    <w:rsid w:val="00966B44"/>
    <w:rsid w:val="009D0F39"/>
    <w:rsid w:val="009E4EAA"/>
    <w:rsid w:val="00A029C0"/>
    <w:rsid w:val="00A22D4A"/>
    <w:rsid w:val="00A42040"/>
    <w:rsid w:val="00A428B4"/>
    <w:rsid w:val="00A71BB5"/>
    <w:rsid w:val="00AA2522"/>
    <w:rsid w:val="00AD4C00"/>
    <w:rsid w:val="00B07604"/>
    <w:rsid w:val="00B470D2"/>
    <w:rsid w:val="00B50B67"/>
    <w:rsid w:val="00B57728"/>
    <w:rsid w:val="00B81C4A"/>
    <w:rsid w:val="00BA37D2"/>
    <w:rsid w:val="00BE218F"/>
    <w:rsid w:val="00BE6561"/>
    <w:rsid w:val="00C44713"/>
    <w:rsid w:val="00C52CD0"/>
    <w:rsid w:val="00C8379D"/>
    <w:rsid w:val="00CE2896"/>
    <w:rsid w:val="00CF4A7F"/>
    <w:rsid w:val="00D107C4"/>
    <w:rsid w:val="00D14ABF"/>
    <w:rsid w:val="00D65082"/>
    <w:rsid w:val="00E24A24"/>
    <w:rsid w:val="00E31755"/>
    <w:rsid w:val="00E400C9"/>
    <w:rsid w:val="00E75F02"/>
    <w:rsid w:val="00E95AF6"/>
    <w:rsid w:val="00F17314"/>
    <w:rsid w:val="00F73EFC"/>
    <w:rsid w:val="00F844C3"/>
    <w:rsid w:val="00F864D1"/>
    <w:rsid w:val="00FD2F5B"/>
    <w:rsid w:val="00FD3954"/>
    <w:rsid w:val="00FD679A"/>
    <w:rsid w:val="00FE3E3C"/>
    <w:rsid w:val="00FF20FE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C13E-A791-487B-BBF5-0C8FD6C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E656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</dc:creator>
  <cp:keywords/>
  <cp:lastModifiedBy>Евсиков Андрей</cp:lastModifiedBy>
  <cp:revision>2</cp:revision>
  <cp:lastPrinted>2018-06-05T05:48:00Z</cp:lastPrinted>
  <dcterms:created xsi:type="dcterms:W3CDTF">2018-06-09T08:37:00Z</dcterms:created>
  <dcterms:modified xsi:type="dcterms:W3CDTF">2018-06-09T08:37:00Z</dcterms:modified>
</cp:coreProperties>
</file>